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val="0"/>
        <w:topLinePunct w:val="0"/>
        <w:autoSpaceDE/>
        <w:autoSpaceDN/>
        <w:bidi w:val="0"/>
        <w:adjustRightInd w:val="0"/>
        <w:snapToGrid w:val="0"/>
        <w:spacing w:line="570" w:lineRule="exact"/>
        <w:ind w:right="0" w:rightChars="0" w:firstLine="2200" w:firstLineChars="500"/>
        <w:jc w:val="both"/>
        <w:textAlignment w:val="baseline"/>
        <w:outlineLvl w:val="9"/>
        <w:rPr>
          <w:rFonts w:hint="default" w:ascii="Times New Roman" w:hAnsi="Times New Roman" w:eastAsia="方正小标宋简体" w:cs="Times New Roman"/>
          <w:spacing w:val="0"/>
          <w:position w:val="0"/>
          <w:sz w:val="44"/>
          <w:szCs w:val="44"/>
          <w:lang w:val="en-US" w:eastAsia="zh-CN"/>
        </w:rPr>
      </w:pPr>
      <w:r>
        <w:rPr>
          <w:rFonts w:hint="default" w:ascii="Times New Roman" w:hAnsi="Times New Roman" w:eastAsia="方正小标宋简体" w:cs="Times New Roman"/>
          <w:spacing w:val="0"/>
          <w:position w:val="0"/>
          <w:sz w:val="44"/>
          <w:szCs w:val="44"/>
          <w:lang w:val="en-US" w:eastAsia="zh-CN"/>
        </w:rPr>
        <w:t>荥阳</w:t>
      </w:r>
      <w:r>
        <w:rPr>
          <w:rFonts w:hint="default" w:ascii="Times New Roman" w:hAnsi="Times New Roman" w:eastAsia="方正小标宋简体" w:cs="Times New Roman"/>
          <w:spacing w:val="0"/>
          <w:position w:val="0"/>
          <w:sz w:val="44"/>
          <w:szCs w:val="44"/>
        </w:rPr>
        <w:t>市人民政府办公</w:t>
      </w:r>
      <w:r>
        <w:rPr>
          <w:rFonts w:hint="default" w:ascii="Times New Roman" w:hAnsi="Times New Roman" w:eastAsia="方正小标宋简体" w:cs="Times New Roman"/>
          <w:spacing w:val="0"/>
          <w:position w:val="0"/>
          <w:sz w:val="44"/>
          <w:szCs w:val="44"/>
          <w:lang w:val="en-US" w:eastAsia="zh-CN"/>
        </w:rPr>
        <w:t>室</w:t>
      </w:r>
    </w:p>
    <w:p>
      <w:pPr>
        <w:pStyle w:val="2"/>
        <w:keepNext w:val="0"/>
        <w:keepLines w:val="0"/>
        <w:pageBreakBefore w:val="0"/>
        <w:widowControl w:val="0"/>
        <w:kinsoku w:val="0"/>
        <w:wordWrap/>
        <w:overflowPunct w:val="0"/>
        <w:topLinePunct w:val="0"/>
        <w:autoSpaceDE/>
        <w:autoSpaceDN/>
        <w:bidi w:val="0"/>
        <w:adjustRightInd w:val="0"/>
        <w:snapToGrid w:val="0"/>
        <w:spacing w:line="570" w:lineRule="exact"/>
        <w:ind w:right="0" w:rightChars="0"/>
        <w:jc w:val="center"/>
        <w:textAlignment w:val="baseline"/>
        <w:outlineLvl w:val="9"/>
        <w:rPr>
          <w:rFonts w:hint="default" w:ascii="Times New Roman" w:hAnsi="Times New Roman" w:eastAsia="方正小标宋简体" w:cs="Times New Roman"/>
          <w:spacing w:val="0"/>
          <w:position w:val="0"/>
          <w:sz w:val="44"/>
          <w:szCs w:val="44"/>
        </w:rPr>
      </w:pPr>
      <w:r>
        <w:rPr>
          <w:rFonts w:hint="default" w:ascii="Times New Roman" w:hAnsi="Times New Roman" w:eastAsia="方正小标宋简体" w:cs="Times New Roman"/>
          <w:spacing w:val="0"/>
          <w:position w:val="0"/>
          <w:sz w:val="44"/>
          <w:szCs w:val="44"/>
        </w:rPr>
        <w:t>关于印发</w:t>
      </w:r>
      <w:r>
        <w:rPr>
          <w:rFonts w:hint="default" w:ascii="Times New Roman" w:hAnsi="Times New Roman" w:eastAsia="方正小标宋简体" w:cs="Times New Roman"/>
          <w:spacing w:val="0"/>
          <w:position w:val="0"/>
          <w:sz w:val="44"/>
          <w:szCs w:val="44"/>
          <w:lang w:val="en-US" w:eastAsia="zh-CN"/>
        </w:rPr>
        <w:t>荥阳</w:t>
      </w:r>
      <w:r>
        <w:rPr>
          <w:rFonts w:hint="default" w:ascii="Times New Roman" w:hAnsi="Times New Roman" w:eastAsia="方正小标宋简体" w:cs="Times New Roman"/>
          <w:spacing w:val="0"/>
          <w:position w:val="0"/>
          <w:sz w:val="44"/>
          <w:szCs w:val="44"/>
        </w:rPr>
        <w:t>市基本养老服务清单</w:t>
      </w:r>
    </w:p>
    <w:p>
      <w:pPr>
        <w:pStyle w:val="2"/>
        <w:keepNext w:val="0"/>
        <w:keepLines w:val="0"/>
        <w:pageBreakBefore w:val="0"/>
        <w:widowControl w:val="0"/>
        <w:kinsoku w:val="0"/>
        <w:wordWrap/>
        <w:overflowPunct w:val="0"/>
        <w:topLinePunct w:val="0"/>
        <w:autoSpaceDE/>
        <w:autoSpaceDN/>
        <w:bidi w:val="0"/>
        <w:adjustRightInd w:val="0"/>
        <w:snapToGrid w:val="0"/>
        <w:spacing w:line="570" w:lineRule="exact"/>
        <w:ind w:right="0" w:rightChars="0"/>
        <w:jc w:val="center"/>
        <w:textAlignment w:val="baseline"/>
        <w:outlineLvl w:val="9"/>
        <w:rPr>
          <w:rFonts w:hint="default" w:ascii="Times New Roman" w:hAnsi="Times New Roman" w:eastAsia="方正小标宋简体" w:cs="Times New Roman"/>
          <w:spacing w:val="0"/>
          <w:position w:val="0"/>
          <w:sz w:val="44"/>
          <w:szCs w:val="44"/>
        </w:rPr>
      </w:pPr>
      <w:r>
        <w:rPr>
          <w:rFonts w:hint="default" w:ascii="Times New Roman" w:hAnsi="Times New Roman" w:eastAsia="方正小标宋简体" w:cs="Times New Roman"/>
          <w:spacing w:val="0"/>
          <w:position w:val="0"/>
          <w:sz w:val="44"/>
          <w:szCs w:val="44"/>
          <w:lang w:eastAsia="zh-CN"/>
        </w:rPr>
        <w:t>（</w:t>
      </w:r>
      <w:r>
        <w:rPr>
          <w:rFonts w:hint="default" w:ascii="Times New Roman" w:hAnsi="Times New Roman" w:eastAsia="方正小标宋简体" w:cs="Times New Roman"/>
          <w:spacing w:val="0"/>
          <w:position w:val="0"/>
          <w:sz w:val="44"/>
          <w:szCs w:val="44"/>
        </w:rPr>
        <w:t>202</w:t>
      </w:r>
      <w:r>
        <w:rPr>
          <w:rFonts w:hint="default" w:ascii="Times New Roman" w:hAnsi="Times New Roman" w:eastAsia="方正小标宋简体" w:cs="Times New Roman"/>
          <w:spacing w:val="0"/>
          <w:position w:val="0"/>
          <w:sz w:val="44"/>
          <w:szCs w:val="44"/>
          <w:lang w:val="en-US" w:eastAsia="zh-CN"/>
        </w:rPr>
        <w:t>4</w:t>
      </w:r>
      <w:r>
        <w:rPr>
          <w:rFonts w:hint="default" w:ascii="Times New Roman" w:hAnsi="Times New Roman" w:eastAsia="方正小标宋简体" w:cs="Times New Roman"/>
          <w:spacing w:val="0"/>
          <w:position w:val="0"/>
          <w:sz w:val="44"/>
          <w:szCs w:val="44"/>
        </w:rPr>
        <w:t>版</w:t>
      </w:r>
      <w:r>
        <w:rPr>
          <w:rFonts w:hint="default" w:ascii="Times New Roman" w:hAnsi="Times New Roman" w:eastAsia="方正小标宋简体" w:cs="Times New Roman"/>
          <w:spacing w:val="0"/>
          <w:position w:val="0"/>
          <w:sz w:val="44"/>
          <w:szCs w:val="44"/>
          <w:lang w:eastAsia="zh-CN"/>
        </w:rPr>
        <w:t>）</w:t>
      </w:r>
      <w:r>
        <w:rPr>
          <w:rFonts w:hint="default" w:ascii="Times New Roman" w:hAnsi="Times New Roman" w:eastAsia="方正小标宋简体" w:cs="Times New Roman"/>
          <w:spacing w:val="0"/>
          <w:position w:val="0"/>
          <w:sz w:val="44"/>
          <w:szCs w:val="44"/>
        </w:rPr>
        <w:t>的通知</w:t>
      </w:r>
    </w:p>
    <w:p>
      <w:pPr>
        <w:keepNext w:val="0"/>
        <w:keepLines w:val="0"/>
        <w:pageBreakBefore w:val="0"/>
        <w:widowControl w:val="0"/>
        <w:kinsoku w:val="0"/>
        <w:wordWrap/>
        <w:overflowPunct w:val="0"/>
        <w:topLinePunct w:val="0"/>
        <w:autoSpaceDE/>
        <w:autoSpaceDN/>
        <w:bidi w:val="0"/>
        <w:adjustRightInd w:val="0"/>
        <w:snapToGrid w:val="0"/>
        <w:spacing w:line="540" w:lineRule="exact"/>
        <w:ind w:left="0" w:leftChars="0" w:right="0" w:rightChars="0" w:firstLine="640" w:firstLineChars="200"/>
        <w:jc w:val="both"/>
        <w:textAlignment w:val="baseline"/>
        <w:outlineLvl w:val="9"/>
        <w:rPr>
          <w:rFonts w:hint="default" w:ascii="Times New Roman" w:hAnsi="Times New Roman" w:eastAsia="仿宋_GB2312" w:cs="Times New Roman"/>
          <w:spacing w:val="0"/>
          <w:position w:val="0"/>
          <w:sz w:val="32"/>
          <w:szCs w:val="32"/>
        </w:rPr>
      </w:pPr>
      <w:bookmarkStart w:id="0" w:name="_GoBack"/>
      <w:bookmarkEnd w:id="0"/>
    </w:p>
    <w:p>
      <w:pPr>
        <w:pStyle w:val="2"/>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640" w:firstLineChars="200"/>
        <w:jc w:val="both"/>
        <w:textAlignment w:val="baseline"/>
        <w:outlineLvl w:val="9"/>
        <w:rPr>
          <w:rFonts w:hint="default" w:ascii="Times New Roman" w:hAnsi="Times New Roman" w:eastAsia="仿宋_GB2312" w:cs="Times New Roman"/>
          <w:spacing w:val="0"/>
          <w:kern w:val="21"/>
          <w:position w:val="0"/>
          <w:sz w:val="32"/>
          <w:szCs w:val="32"/>
        </w:rPr>
      </w:pPr>
      <w:r>
        <w:rPr>
          <w:rFonts w:hint="default" w:ascii="Times New Roman" w:hAnsi="Times New Roman" w:eastAsia="仿宋_GB2312" w:cs="Times New Roman"/>
          <w:spacing w:val="0"/>
          <w:kern w:val="21"/>
          <w:position w:val="0"/>
          <w:sz w:val="32"/>
          <w:szCs w:val="32"/>
        </w:rPr>
        <w:t>为贯彻落实国家、省关于推进基本养老服务体系建设的决策部署</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拓展基本养老服务内容</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为老年人提供基础性、普惠性、兜底性服务</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经市政府同意</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现将《</w:t>
      </w:r>
      <w:r>
        <w:rPr>
          <w:rFonts w:hint="default" w:ascii="Times New Roman" w:hAnsi="Times New Roman" w:eastAsia="仿宋_GB2312" w:cs="Times New Roman"/>
          <w:spacing w:val="0"/>
          <w:kern w:val="21"/>
          <w:position w:val="0"/>
          <w:sz w:val="32"/>
          <w:szCs w:val="32"/>
          <w:lang w:val="en-US" w:eastAsia="zh-CN"/>
        </w:rPr>
        <w:t>荥阳</w:t>
      </w:r>
      <w:r>
        <w:rPr>
          <w:rFonts w:hint="default" w:ascii="Times New Roman" w:hAnsi="Times New Roman" w:eastAsia="仿宋_GB2312" w:cs="Times New Roman"/>
          <w:spacing w:val="0"/>
          <w:kern w:val="21"/>
          <w:position w:val="0"/>
          <w:sz w:val="32"/>
          <w:szCs w:val="32"/>
        </w:rPr>
        <w:t>市基本养老服务清单</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202</w:t>
      </w:r>
      <w:r>
        <w:rPr>
          <w:rFonts w:hint="default" w:ascii="Times New Roman" w:hAnsi="Times New Roman" w:eastAsia="仿宋_GB2312" w:cs="Times New Roman"/>
          <w:spacing w:val="0"/>
          <w:kern w:val="21"/>
          <w:position w:val="0"/>
          <w:sz w:val="32"/>
          <w:szCs w:val="32"/>
          <w:lang w:val="en-US" w:eastAsia="zh-CN"/>
        </w:rPr>
        <w:t>4</w:t>
      </w:r>
      <w:r>
        <w:rPr>
          <w:rFonts w:hint="default" w:ascii="Times New Roman" w:hAnsi="Times New Roman" w:eastAsia="仿宋_GB2312" w:cs="Times New Roman"/>
          <w:spacing w:val="0"/>
          <w:kern w:val="21"/>
          <w:position w:val="0"/>
          <w:sz w:val="32"/>
          <w:szCs w:val="32"/>
        </w:rPr>
        <w:t>版</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》印发给你们</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请结合实际认真贯彻落实。到2025年</w:t>
      </w:r>
      <w:r>
        <w:rPr>
          <w:rFonts w:hint="default"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基本养老服务制度体系基本健全</w:t>
      </w:r>
      <w:r>
        <w:rPr>
          <w:rFonts w:hint="eastAsia" w:ascii="Times New Roman" w:hAnsi="Times New Roman" w:eastAsia="仿宋_GB2312" w:cs="Times New Roman"/>
          <w:spacing w:val="0"/>
          <w:kern w:val="21"/>
          <w:position w:val="0"/>
          <w:sz w:val="32"/>
          <w:szCs w:val="32"/>
          <w:lang w:eastAsia="zh-CN"/>
        </w:rPr>
        <w:t>，</w:t>
      </w:r>
      <w:r>
        <w:rPr>
          <w:rFonts w:hint="default" w:ascii="Times New Roman" w:hAnsi="Times New Roman" w:eastAsia="仿宋_GB2312" w:cs="Times New Roman"/>
          <w:spacing w:val="0"/>
          <w:kern w:val="21"/>
          <w:position w:val="0"/>
          <w:sz w:val="32"/>
          <w:szCs w:val="32"/>
        </w:rPr>
        <w:t>基本养老服务清单不断完善。</w:t>
      </w:r>
    </w:p>
    <w:p>
      <w:pPr>
        <w:pStyle w:val="2"/>
        <w:keepNext w:val="0"/>
        <w:keepLines w:val="0"/>
        <w:pageBreakBefore w:val="0"/>
        <w:widowControl w:val="0"/>
        <w:kinsoku/>
        <w:wordWrap w:val="0"/>
        <w:overflowPunct w:val="0"/>
        <w:topLinePunct w:val="0"/>
        <w:autoSpaceDE/>
        <w:autoSpaceDN/>
        <w:bidi w:val="0"/>
        <w:adjustRightInd w:val="0"/>
        <w:snapToGrid w:val="0"/>
        <w:spacing w:before="0" w:beforeLines="200" w:line="540" w:lineRule="exact"/>
        <w:ind w:left="0" w:leftChars="0" w:right="0" w:rightChars="0" w:firstLine="0" w:firstLineChars="0"/>
        <w:jc w:val="right"/>
        <w:textAlignment w:val="baseline"/>
        <w:outlineLvl w:val="9"/>
        <w:rPr>
          <w:rFonts w:hint="default" w:ascii="Times New Roman" w:hAnsi="Times New Roman" w:cs="Times New Roman"/>
          <w:kern w:val="21"/>
          <w:sz w:val="21"/>
        </w:rPr>
      </w:pPr>
      <w:r>
        <w:rPr>
          <w:rFonts w:hint="default" w:ascii="Times New Roman" w:hAnsi="Times New Roman" w:eastAsia="仿宋_GB2312" w:cs="Times New Roman"/>
          <w:spacing w:val="0"/>
          <w:kern w:val="21"/>
          <w:position w:val="0"/>
          <w:sz w:val="32"/>
          <w:szCs w:val="32"/>
        </w:rPr>
        <w:t>202</w:t>
      </w:r>
      <w:r>
        <w:rPr>
          <w:rFonts w:hint="default" w:ascii="Times New Roman" w:hAnsi="Times New Roman" w:eastAsia="仿宋_GB2312" w:cs="Times New Roman"/>
          <w:spacing w:val="0"/>
          <w:kern w:val="21"/>
          <w:position w:val="0"/>
          <w:sz w:val="32"/>
          <w:szCs w:val="32"/>
          <w:lang w:val="en-US" w:eastAsia="zh-CN"/>
        </w:rPr>
        <w:t>4</w:t>
      </w:r>
      <w:r>
        <w:rPr>
          <w:rFonts w:hint="default" w:ascii="Times New Roman" w:hAnsi="Times New Roman" w:eastAsia="仿宋_GB2312" w:cs="Times New Roman"/>
          <w:spacing w:val="0"/>
          <w:kern w:val="21"/>
          <w:position w:val="0"/>
          <w:sz w:val="32"/>
          <w:szCs w:val="32"/>
        </w:rPr>
        <w:t>年</w:t>
      </w:r>
      <w:r>
        <w:rPr>
          <w:rFonts w:hint="eastAsia" w:ascii="Times New Roman" w:hAnsi="Times New Roman" w:eastAsia="仿宋_GB2312" w:cs="Times New Roman"/>
          <w:spacing w:val="0"/>
          <w:kern w:val="21"/>
          <w:position w:val="0"/>
          <w:sz w:val="32"/>
          <w:szCs w:val="32"/>
          <w:lang w:val="en-US" w:eastAsia="zh-CN"/>
        </w:rPr>
        <w:t>4</w:t>
      </w:r>
      <w:r>
        <w:rPr>
          <w:rFonts w:hint="default" w:ascii="Times New Roman" w:hAnsi="Times New Roman" w:eastAsia="仿宋_GB2312" w:cs="Times New Roman"/>
          <w:spacing w:val="0"/>
          <w:kern w:val="21"/>
          <w:position w:val="0"/>
          <w:sz w:val="32"/>
          <w:szCs w:val="32"/>
        </w:rPr>
        <w:t>月</w:t>
      </w:r>
      <w:r>
        <w:rPr>
          <w:rFonts w:hint="default" w:ascii="Times New Roman" w:hAnsi="Times New Roman" w:eastAsia="仿宋_GB2312" w:cs="Times New Roman"/>
          <w:spacing w:val="0"/>
          <w:kern w:val="21"/>
          <w:position w:val="0"/>
          <w:sz w:val="32"/>
          <w:szCs w:val="32"/>
          <w:lang w:val="en-US" w:eastAsia="zh-CN"/>
        </w:rPr>
        <w:t>1</w:t>
      </w:r>
      <w:r>
        <w:rPr>
          <w:rFonts w:hint="eastAsia" w:ascii="Times New Roman" w:hAnsi="Times New Roman" w:eastAsia="仿宋_GB2312" w:cs="Times New Roman"/>
          <w:spacing w:val="0"/>
          <w:kern w:val="21"/>
          <w:position w:val="0"/>
          <w:sz w:val="32"/>
          <w:szCs w:val="32"/>
          <w:lang w:val="en-US" w:eastAsia="zh-CN"/>
        </w:rPr>
        <w:t>9</w:t>
      </w:r>
      <w:r>
        <w:rPr>
          <w:rFonts w:hint="default" w:ascii="Times New Roman" w:hAnsi="Times New Roman" w:eastAsia="仿宋_GB2312" w:cs="Times New Roman"/>
          <w:spacing w:val="0"/>
          <w:kern w:val="21"/>
          <w:position w:val="0"/>
          <w:sz w:val="32"/>
          <w:szCs w:val="32"/>
        </w:rPr>
        <w:t>日</w:t>
      </w:r>
      <w:r>
        <w:rPr>
          <w:rFonts w:hint="default" w:ascii="Times New Roman" w:hAnsi="Times New Roman" w:eastAsia="仿宋_GB2312" w:cs="Times New Roman"/>
          <w:spacing w:val="0"/>
          <w:kern w:val="21"/>
          <w:position w:val="0"/>
          <w:sz w:val="32"/>
          <w:szCs w:val="32"/>
          <w:lang w:eastAsia="zh-CN"/>
        </w:rPr>
        <w:t>　　　　</w:t>
      </w:r>
    </w:p>
    <w:p>
      <w:pPr>
        <w:pStyle w:val="2"/>
        <w:keepNext w:val="0"/>
        <w:keepLines w:val="0"/>
        <w:pageBreakBefore w:val="0"/>
        <w:widowControl/>
        <w:kinsoku w:val="0"/>
        <w:wordWrap/>
        <w:overflowPunct/>
        <w:topLinePunct w:val="0"/>
        <w:autoSpaceDE w:val="0"/>
        <w:autoSpaceDN w:val="0"/>
        <w:bidi w:val="0"/>
        <w:adjustRightInd w:val="0"/>
        <w:snapToGrid w:val="0"/>
        <w:spacing w:line="209" w:lineRule="auto"/>
        <w:ind w:left="0" w:leftChars="0" w:right="0" w:rightChars="0" w:firstLine="0" w:firstLineChars="0"/>
        <w:textAlignment w:val="baseline"/>
        <w:outlineLvl w:val="9"/>
        <w:rPr>
          <w:rFonts w:hint="default" w:ascii="Times New Roman" w:hAnsi="Times New Roman" w:cs="Times New Roman"/>
          <w:spacing w:val="24"/>
          <w:sz w:val="39"/>
          <w:szCs w:val="39"/>
          <w:lang w:val="en-US" w:eastAsia="zh-CN"/>
        </w:rPr>
      </w:pPr>
      <w:r>
        <w:rPr>
          <w:rFonts w:hint="default" w:ascii="Times New Roman" w:hAnsi="Times New Roman" w:cs="Times New Roman"/>
          <w:spacing w:val="24"/>
          <w:sz w:val="39"/>
          <w:szCs w:val="39"/>
          <w:lang w:val="en-US" w:eastAsia="zh-CN"/>
        </w:rPr>
        <w:br w:type="page"/>
      </w:r>
    </w:p>
    <w:p>
      <w:pPr>
        <w:pStyle w:val="2"/>
        <w:keepNext w:val="0"/>
        <w:keepLines w:val="0"/>
        <w:pageBreakBefore w:val="0"/>
        <w:widowControl/>
        <w:kinsoku w:val="0"/>
        <w:wordWrap/>
        <w:overflowPunct/>
        <w:topLinePunct w:val="0"/>
        <w:autoSpaceDE w:val="0"/>
        <w:autoSpaceDN w:val="0"/>
        <w:bidi w:val="0"/>
        <w:adjustRightInd w:val="0"/>
        <w:snapToGrid w:val="0"/>
        <w:spacing w:line="209" w:lineRule="auto"/>
        <w:ind w:left="0" w:leftChars="0" w:right="0" w:rightChars="0" w:firstLine="0" w:firstLineChars="0"/>
        <w:jc w:val="center"/>
        <w:textAlignment w:val="baseline"/>
        <w:outlineLvl w:val="9"/>
        <w:rPr>
          <w:rFonts w:hint="default" w:ascii="Times New Roman" w:hAnsi="Times New Roman" w:eastAsia="方正小标宋简体" w:cs="Times New Roman"/>
          <w:spacing w:val="0"/>
          <w:sz w:val="44"/>
          <w:szCs w:val="44"/>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209" w:lineRule="auto"/>
        <w:ind w:left="0" w:leftChars="0" w:right="0" w:rightChars="0" w:firstLine="0" w:firstLineChars="0"/>
        <w:jc w:val="center"/>
        <w:textAlignment w:val="baseline"/>
        <w:outlineLvl w:val="9"/>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lang w:val="en-US" w:eastAsia="zh-CN"/>
        </w:rPr>
        <w:t>荥阳</w:t>
      </w:r>
      <w:r>
        <w:rPr>
          <w:rFonts w:hint="default" w:ascii="Times New Roman" w:hAnsi="Times New Roman" w:eastAsia="方正小标宋简体" w:cs="Times New Roman"/>
          <w:spacing w:val="0"/>
          <w:sz w:val="44"/>
          <w:szCs w:val="44"/>
        </w:rPr>
        <w:t>市基本养老服务清单</w:t>
      </w:r>
      <w:r>
        <w:rPr>
          <w:rFonts w:hint="default" w:ascii="Times New Roman" w:hAnsi="Times New Roman" w:eastAsia="方正小标宋简体" w:cs="Times New Roman"/>
          <w:spacing w:val="0"/>
          <w:sz w:val="44"/>
          <w:szCs w:val="44"/>
          <w:lang w:eastAsia="zh-CN"/>
        </w:rPr>
        <w:t>（</w:t>
      </w:r>
      <w:r>
        <w:rPr>
          <w:rFonts w:hint="default" w:ascii="Times New Roman" w:hAnsi="Times New Roman" w:eastAsia="方正小标宋简体" w:cs="Times New Roman"/>
          <w:spacing w:val="0"/>
          <w:sz w:val="44"/>
          <w:szCs w:val="44"/>
        </w:rPr>
        <w:t>202</w:t>
      </w:r>
      <w:r>
        <w:rPr>
          <w:rFonts w:hint="default" w:ascii="Times New Roman" w:hAnsi="Times New Roman" w:eastAsia="方正小标宋简体" w:cs="Times New Roman"/>
          <w:spacing w:val="0"/>
          <w:sz w:val="44"/>
          <w:szCs w:val="44"/>
          <w:lang w:val="en-US" w:eastAsia="zh-CN"/>
        </w:rPr>
        <w:t>4</w:t>
      </w:r>
      <w:r>
        <w:rPr>
          <w:rFonts w:hint="default" w:ascii="Times New Roman" w:hAnsi="Times New Roman" w:eastAsia="方正小标宋简体" w:cs="Times New Roman"/>
          <w:spacing w:val="0"/>
          <w:sz w:val="44"/>
          <w:szCs w:val="44"/>
        </w:rPr>
        <w:t>版</w:t>
      </w:r>
      <w:r>
        <w:rPr>
          <w:rFonts w:hint="default" w:ascii="Times New Roman" w:hAnsi="Times New Roman" w:eastAsia="方正小标宋简体" w:cs="Times New Roman"/>
          <w:spacing w:val="0"/>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31" w:lineRule="exact"/>
        <w:ind w:left="0" w:leftChars="0" w:right="0" w:rightChars="0" w:firstLine="0" w:firstLineChars="0"/>
        <w:textAlignment w:val="baseline"/>
        <w:outlineLvl w:val="9"/>
        <w:rPr>
          <w:rFonts w:hint="default" w:ascii="Times New Roman" w:hAnsi="Times New Roman" w:cs="Times New Roman"/>
        </w:rPr>
      </w:pPr>
    </w:p>
    <w:tbl>
      <w:tblPr>
        <w:tblStyle w:val="6"/>
        <w:tblW w:w="9535" w:type="dxa"/>
        <w:jc w:val="center"/>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1137"/>
        <w:gridCol w:w="451"/>
        <w:gridCol w:w="1133"/>
        <w:gridCol w:w="1306"/>
        <w:gridCol w:w="1697"/>
        <w:gridCol w:w="1982"/>
        <w:gridCol w:w="678"/>
        <w:gridCol w:w="1151"/>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9" w:hRule="atLeast"/>
          <w:tblHeader/>
          <w:jc w:val="center"/>
        </w:trPr>
        <w:tc>
          <w:tcPr>
            <w:tcW w:w="1137" w:type="dxa"/>
            <w:tcBorders>
              <w:top w:val="single" w:color="231F20" w:sz="6" w:space="0"/>
              <w:left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服务对象</w:t>
            </w:r>
          </w:p>
        </w:tc>
        <w:tc>
          <w:tcPr>
            <w:tcW w:w="1584" w:type="dxa"/>
            <w:gridSpan w:val="2"/>
            <w:tcBorders>
              <w:top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服务项目</w:t>
            </w:r>
          </w:p>
        </w:tc>
        <w:tc>
          <w:tcPr>
            <w:tcW w:w="1306" w:type="dxa"/>
            <w:tcBorders>
              <w:top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服务内容</w:t>
            </w:r>
          </w:p>
        </w:tc>
        <w:tc>
          <w:tcPr>
            <w:tcW w:w="1697" w:type="dxa"/>
            <w:tcBorders>
              <w:top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服务标准</w:t>
            </w:r>
          </w:p>
        </w:tc>
        <w:tc>
          <w:tcPr>
            <w:tcW w:w="1982" w:type="dxa"/>
            <w:tcBorders>
              <w:top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支出责任</w:t>
            </w:r>
          </w:p>
        </w:tc>
        <w:tc>
          <w:tcPr>
            <w:tcW w:w="678" w:type="dxa"/>
            <w:tcBorders>
              <w:top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服务</w:t>
            </w:r>
          </w:p>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类型</w:t>
            </w:r>
          </w:p>
        </w:tc>
        <w:tc>
          <w:tcPr>
            <w:tcW w:w="1151" w:type="dxa"/>
            <w:tcBorders>
              <w:top w:val="single" w:color="231F20" w:sz="6" w:space="0"/>
              <w:right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eastAsia="黑体" w:cs="Times New Roman"/>
                <w:spacing w:val="0"/>
                <w:w w:val="100"/>
                <w:position w:val="0"/>
                <w:sz w:val="21"/>
                <w:szCs w:val="21"/>
              </w:rPr>
            </w:pPr>
            <w:r>
              <w:rPr>
                <w:rFonts w:hint="default" w:ascii="Times New Roman" w:hAnsi="Times New Roman" w:eastAsia="黑体" w:cs="Times New Roman"/>
                <w:spacing w:val="0"/>
                <w:w w:val="100"/>
                <w:position w:val="0"/>
                <w:sz w:val="21"/>
                <w:szCs w:val="21"/>
              </w:rPr>
              <w:t>责任单位</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966" w:hRule="atLeast"/>
          <w:jc w:val="center"/>
        </w:trPr>
        <w:tc>
          <w:tcPr>
            <w:tcW w:w="1137" w:type="dxa"/>
            <w:vMerge w:val="restart"/>
            <w:tcBorders>
              <w:left w:val="single" w:color="231F20" w:sz="6" w:space="0"/>
              <w:bottom w:val="nil"/>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达到待遇享受年龄的老年人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职工基本养老保险</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按时足额发放基本养老金</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按照河南省完善企业职工基本养老保险制度的实施意见和机关事业单位工作人员养老保险制度改革的实施办法及有关规定执行。</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在基本养老保险基金中支出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基本养老保险基金出现支付不足时</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政府给予补贴。</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市人社局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797" w:hRule="atLeast"/>
          <w:jc w:val="center"/>
        </w:trPr>
        <w:tc>
          <w:tcPr>
            <w:tcW w:w="1137" w:type="dxa"/>
            <w:vMerge w:val="continue"/>
            <w:tcBorders>
              <w:top w:val="nil"/>
              <w:left w:val="single" w:color="231F20" w:sz="6" w:space="0"/>
              <w:bottom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城乡居民基本养老保险</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按时足额发放城乡居民养老金</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按照《郑州市人民政府关于进一步完善城乡居民养老保险制度的意见》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郑政〔2015〕47号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、《郑州市人社局、财政局关于建立城乡居民基本养老保险待遇确定和基础养老金正常调整机制的实施意见》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郑人社〔2019〕15号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执行。</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主要由基础养老金和个人账户养老金等构成。政府对符合条件的参保人员全额支付基础养老金</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对缴费人员按照规定给予缴费补贴。我省提高的基础养老金部分和缴费补贴由省财政与市财政共同承担支出责任</w:t>
            </w:r>
            <w:r>
              <w:rPr>
                <w:rFonts w:hint="default"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我市</w:t>
            </w:r>
            <w:r>
              <w:rPr>
                <w:rFonts w:hint="default" w:ascii="Times New Roman" w:hAnsi="Times New Roman" w:cs="Times New Roman" w:eastAsiaTheme="minorEastAsia"/>
                <w:spacing w:val="0"/>
                <w:w w:val="100"/>
                <w:position w:val="0"/>
                <w:sz w:val="21"/>
                <w:szCs w:val="21"/>
              </w:rPr>
              <w:t>按照省核定分担比例执行。</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市人社局、市财政局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004" w:hRule="atLeast"/>
          <w:jc w:val="center"/>
        </w:trPr>
        <w:tc>
          <w:tcPr>
            <w:tcW w:w="1137" w:type="dxa"/>
            <w:vMerge w:val="restart"/>
            <w:tcBorders>
              <w:left w:val="single" w:color="231F20" w:sz="6" w:space="0"/>
              <w:bottom w:val="nil"/>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65周岁及以上老年人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3</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老年人健康管理</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每年为辖区内65周岁及以上常住居民提供1次生活方式和健康状况评估、体格检查、辅助检查和健康指导等服务</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每人每年提供1次中医体质辨识和中医药保健指导。</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按照国家《基本公共卫生服务规范</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第三版</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》及相应技术方案执行。</w:t>
            </w:r>
          </w:p>
        </w:tc>
        <w:tc>
          <w:tcPr>
            <w:tcW w:w="1982" w:type="dxa"/>
            <w:vAlign w:val="center"/>
          </w:tcPr>
          <w:p>
            <w:pPr>
              <w:pStyle w:val="7"/>
              <w:keepNext w:val="0"/>
              <w:keepLines w:val="0"/>
              <w:pageBreakBefore w:val="0"/>
              <w:widowControl w:val="0"/>
              <w:tabs>
                <w:tab w:val="left" w:pos="131"/>
              </w:tabs>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eastAsia" w:ascii="Times New Roman" w:hAnsi="Times New Roman" w:cs="Times New Roman" w:eastAsiaTheme="minorEastAsia"/>
                <w:spacing w:val="0"/>
                <w:w w:val="100"/>
                <w:position w:val="0"/>
                <w:sz w:val="21"/>
                <w:szCs w:val="21"/>
                <w:lang w:eastAsia="zh-CN"/>
              </w:rPr>
            </w:pPr>
            <w:r>
              <w:rPr>
                <w:rFonts w:hint="default" w:ascii="Times New Roman" w:hAnsi="Times New Roman" w:cs="Times New Roman" w:eastAsiaTheme="minorEastAsia"/>
                <w:spacing w:val="0"/>
                <w:w w:val="100"/>
                <w:position w:val="0"/>
                <w:sz w:val="21"/>
                <w:szCs w:val="21"/>
              </w:rPr>
              <w:t>所需资金从基本公共卫生服务补助资金中支出。中央财政、省财政</w:t>
            </w:r>
            <w:r>
              <w:rPr>
                <w:rFonts w:hint="eastAsia"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郑州市财政</w:t>
            </w:r>
            <w:r>
              <w:rPr>
                <w:rFonts w:hint="default" w:ascii="Times New Roman" w:hAnsi="Times New Roman" w:cs="Times New Roman" w:eastAsiaTheme="minorEastAsia"/>
                <w:spacing w:val="0"/>
                <w:w w:val="100"/>
                <w:position w:val="0"/>
                <w:sz w:val="21"/>
                <w:szCs w:val="21"/>
              </w:rPr>
              <w:t>与</w:t>
            </w:r>
            <w:r>
              <w:rPr>
                <w:rFonts w:hint="eastAsia" w:ascii="Times New Roman" w:hAnsi="Times New Roman" w:cs="Times New Roman" w:eastAsiaTheme="minorEastAsia"/>
                <w:spacing w:val="0"/>
                <w:w w:val="100"/>
                <w:position w:val="0"/>
                <w:sz w:val="21"/>
                <w:szCs w:val="21"/>
                <w:lang w:val="en-US" w:eastAsia="zh-CN"/>
              </w:rPr>
              <w:t>本级</w:t>
            </w:r>
            <w:r>
              <w:rPr>
                <w:rFonts w:hint="default" w:ascii="Times New Roman" w:hAnsi="Times New Roman" w:cs="Times New Roman" w:eastAsiaTheme="minorEastAsia"/>
                <w:spacing w:val="0"/>
                <w:w w:val="100"/>
                <w:position w:val="0"/>
                <w:sz w:val="21"/>
                <w:szCs w:val="21"/>
              </w:rPr>
              <w:t>财政共同承担支出责任。</w:t>
            </w:r>
            <w:r>
              <w:rPr>
                <w:rFonts w:hint="eastAsia" w:ascii="Times New Roman" w:hAnsi="Times New Roman" w:cs="Times New Roman" w:eastAsiaTheme="minorEastAsia"/>
                <w:spacing w:val="0"/>
                <w:w w:val="100"/>
                <w:position w:val="0"/>
                <w:sz w:val="21"/>
                <w:szCs w:val="21"/>
                <w:lang w:val="en-US" w:eastAsia="zh-CN"/>
              </w:rPr>
              <w:t>郑州</w:t>
            </w:r>
            <w:r>
              <w:rPr>
                <w:rFonts w:hint="default" w:ascii="Times New Roman" w:hAnsi="Times New Roman" w:cs="Times New Roman" w:eastAsiaTheme="minorEastAsia"/>
                <w:spacing w:val="0"/>
                <w:w w:val="100"/>
                <w:position w:val="0"/>
                <w:sz w:val="21"/>
                <w:szCs w:val="21"/>
              </w:rPr>
              <w:t>市与</w:t>
            </w:r>
            <w:r>
              <w:rPr>
                <w:rFonts w:hint="eastAsia" w:ascii="Times New Roman" w:hAnsi="Times New Roman" w:cs="Times New Roman" w:eastAsiaTheme="minorEastAsia"/>
                <w:spacing w:val="0"/>
                <w:w w:val="100"/>
                <w:position w:val="0"/>
                <w:sz w:val="21"/>
                <w:szCs w:val="21"/>
                <w:lang w:val="en-US" w:eastAsia="zh-CN"/>
              </w:rPr>
              <w:t>本级</w:t>
            </w:r>
            <w:r>
              <w:rPr>
                <w:rFonts w:hint="default" w:ascii="Times New Roman" w:hAnsi="Times New Roman" w:cs="Times New Roman" w:eastAsiaTheme="minorEastAsia"/>
                <w:spacing w:val="0"/>
                <w:w w:val="100"/>
                <w:position w:val="0"/>
                <w:sz w:val="21"/>
                <w:szCs w:val="21"/>
              </w:rPr>
              <w:t>分担比例按照《郑州市人民政府办公厅关于印发市与区县</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市</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共同财政事权支出责任分担办法的通知》</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郑政办〔2022〕28号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执行</w:t>
            </w:r>
            <w:r>
              <w:rPr>
                <w:rFonts w:hint="eastAsia" w:ascii="Times New Roman" w:hAnsi="Times New Roman" w:cs="Times New Roman" w:eastAsiaTheme="minorEastAsia"/>
                <w:spacing w:val="0"/>
                <w:w w:val="100"/>
                <w:position w:val="0"/>
                <w:sz w:val="21"/>
                <w:szCs w:val="21"/>
                <w:lang w:eastAsia="zh-CN"/>
              </w:rPr>
              <w:t>。</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市卫健委</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772" w:hRule="atLeast"/>
          <w:jc w:val="center"/>
        </w:trPr>
        <w:tc>
          <w:tcPr>
            <w:tcW w:w="1137" w:type="dxa"/>
            <w:vMerge w:val="continue"/>
            <w:tcBorders>
              <w:top w:val="nil"/>
              <w:left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4</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老年人能力综合评估</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为有需求的65周岁及以上老年人提供能力综合评估</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做好老年人能力综合评估与健康状况评估的衔接。</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按照省老年人能力评估规范及相关办法执行。</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r>
              <w:rPr>
                <w:rFonts w:hint="default" w:ascii="Times New Roman" w:hAnsi="Times New Roman" w:cs="Times New Roman" w:eastAsiaTheme="minorEastAsia"/>
                <w:spacing w:val="0"/>
                <w:w w:val="100"/>
                <w:position w:val="0"/>
                <w:sz w:val="21"/>
                <w:szCs w:val="21"/>
              </w:rPr>
              <w:t>、市卫健委</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301"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80周岁及以上老年人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5</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高龄津贴</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为80周岁及以上老年人发放高龄津贴。</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按照《关于印发&lt;郑州市高龄津贴发放管理办法&gt;的通知》</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郑民文〔2021〕113号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执行</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80—89周岁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每人每月100元</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90—99周岁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每人每月200元</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100周岁及以上</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每人每月300元标准发放。</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w:t>
            </w:r>
            <w:r>
              <w:rPr>
                <w:rFonts w:hint="eastAsia"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郑州市</w:t>
            </w:r>
            <w:r>
              <w:rPr>
                <w:rFonts w:hint="default" w:ascii="Times New Roman" w:hAnsi="Times New Roman" w:cs="Times New Roman" w:eastAsiaTheme="minorEastAsia"/>
                <w:spacing w:val="0"/>
                <w:w w:val="100"/>
                <w:position w:val="0"/>
                <w:sz w:val="21"/>
                <w:szCs w:val="21"/>
              </w:rPr>
              <w:t>财政给予适当补助。</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273"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纳入最低生活保障范围的老年人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6</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最低社会保障</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将符合条件的老年人纳入最低生活保障范围</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对获得最低生活保障金后生活仍有困难的老年人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采取必要措施给予生活保障。</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将符合条件的老年人及时纳入低保</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目前低保标准为750元/月</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对低保对象中的70周岁以上老年人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在低保金的基础上每人每月增发100元。对获得低保后生活仍有困难的老年人</w:t>
            </w:r>
            <w:r>
              <w:rPr>
                <w:rFonts w:hint="default"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市</w:t>
            </w:r>
            <w:r>
              <w:rPr>
                <w:rFonts w:hint="default" w:ascii="Times New Roman" w:hAnsi="Times New Roman" w:cs="Times New Roman" w:eastAsiaTheme="minorEastAsia"/>
                <w:spacing w:val="0"/>
                <w:w w:val="100"/>
                <w:position w:val="0"/>
                <w:sz w:val="21"/>
                <w:szCs w:val="21"/>
              </w:rPr>
              <w:t>人民政府及乡镇人民政府</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街道办事处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应当采取临时救助等必要措施给予生活保障。</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所需资金由困难群众救助补助资金支出。市政府负责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中央和省</w:t>
            </w:r>
            <w:r>
              <w:rPr>
                <w:rFonts w:hint="eastAsia"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郑州市</w:t>
            </w:r>
            <w:r>
              <w:rPr>
                <w:rFonts w:hint="default" w:ascii="Times New Roman" w:hAnsi="Times New Roman" w:cs="Times New Roman" w:eastAsiaTheme="minorEastAsia"/>
                <w:spacing w:val="0"/>
                <w:w w:val="100"/>
                <w:position w:val="0"/>
                <w:sz w:val="21"/>
                <w:szCs w:val="21"/>
              </w:rPr>
              <w:t>适当补助。</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784"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低保对象、计划生育特殊家庭的高龄、失能、残疾老年人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特困人员中的老年人。可扩大到低保边缘、支出型困难等经济困难家庭老年人。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7</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养老服务补贴</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采取多种方式</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为服务对象提供养老服务补贴。</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原则上按照每人每月不低于60元的标准执行。特困人员按现行政策执行。</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553"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经济困难的老年人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现阶段重点保障纳入分散特困供养范围的失能、高龄、残疾老年人家庭</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有条件的地方可将改造对象范围扩大到低保对象中的失能、高龄、残疾老年人家庭等。</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8</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家庭适老化改造</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按照相关标准</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分年度逐步为服务对象提供家庭无障碍改造服务。</w:t>
            </w:r>
          </w:p>
        </w:tc>
        <w:tc>
          <w:tcPr>
            <w:tcW w:w="1697" w:type="dxa"/>
            <w:vAlign w:val="center"/>
          </w:tcPr>
          <w:p>
            <w:pPr>
              <w:pStyle w:val="7"/>
              <w:keepNext w:val="0"/>
              <w:keepLines w:val="0"/>
              <w:pageBreakBefore w:val="0"/>
              <w:widowControl w:val="0"/>
              <w:tabs>
                <w:tab w:val="left" w:pos="128"/>
              </w:tabs>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根据民政部等9部门《关于加快实施老年人居家适老化改造工程的指导意见》</w:t>
            </w:r>
            <w:r>
              <w:rPr>
                <w:rFonts w:hint="default" w:ascii="Times New Roman" w:hAnsi="Times New Roman" w:cs="Times New Roman" w:eastAsiaTheme="minorEastAsia"/>
                <w:spacing w:val="0"/>
                <w:w w:val="100"/>
                <w:position w:val="0"/>
                <w:sz w:val="21"/>
                <w:szCs w:val="21"/>
              </w:rPr>
              <w:tab/>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民发〔2020〕86号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按照《老年人居家适老化改造项目和老年用品配置推荐清单》</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提供基础类改造项目。</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省财政统筹中央下达及省级彩票公益金等资金给予适当补助。</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382"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特困老年人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9</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分散供养</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对选择在家供养的特困老年人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由</w:t>
            </w:r>
            <w:r>
              <w:rPr>
                <w:rFonts w:hint="eastAsia" w:ascii="Times New Roman" w:hAnsi="Times New Roman" w:cs="Times New Roman" w:eastAsiaTheme="minorEastAsia"/>
                <w:spacing w:val="0"/>
                <w:w w:val="100"/>
                <w:position w:val="0"/>
                <w:sz w:val="21"/>
                <w:szCs w:val="21"/>
                <w:lang w:val="en-US" w:eastAsia="zh-CN"/>
              </w:rPr>
              <w:t>市</w:t>
            </w:r>
            <w:r>
              <w:rPr>
                <w:rFonts w:hint="default" w:ascii="Times New Roman" w:hAnsi="Times New Roman" w:cs="Times New Roman" w:eastAsiaTheme="minorEastAsia"/>
                <w:spacing w:val="0"/>
                <w:w w:val="100"/>
                <w:position w:val="0"/>
                <w:sz w:val="21"/>
                <w:szCs w:val="21"/>
              </w:rPr>
              <w:t>民政部门依照有关规定给予分散供养</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提供基本生活条件、疾病治疗、办理丧葬事宜等</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对生活不能自理的给予照料。</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对分散特困人员提供基本生活条件、照料服务、疾病医疗、办理丧葬事宜、住房救助、教育救助等6个方面的救助供养保障。基本生活标准为低保标准的1.5倍</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照料护理标准按照具有生活自理能力、部分和完全丧失自理能力三档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分别按当年本地最低工资标准的10%、25%和60%确定。</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所需资金按原渠道由困难群众救助补助资金支出。市政府负责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省级</w:t>
            </w:r>
            <w:r>
              <w:rPr>
                <w:rFonts w:hint="eastAsia" w:ascii="Times New Roman" w:hAnsi="Times New Roman" w:cs="Times New Roman" w:eastAsiaTheme="minorEastAsia"/>
                <w:spacing w:val="0"/>
                <w:w w:val="100"/>
                <w:position w:val="0"/>
                <w:sz w:val="21"/>
                <w:szCs w:val="21"/>
                <w:lang w:val="en-US" w:eastAsia="zh-CN"/>
              </w:rPr>
              <w:t>和郑州市</w:t>
            </w:r>
            <w:r>
              <w:rPr>
                <w:rFonts w:hint="default" w:ascii="Times New Roman" w:hAnsi="Times New Roman" w:cs="Times New Roman" w:eastAsiaTheme="minorEastAsia"/>
                <w:spacing w:val="0"/>
                <w:w w:val="100"/>
                <w:position w:val="0"/>
                <w:sz w:val="21"/>
                <w:szCs w:val="21"/>
              </w:rPr>
              <w:t>适当补助。</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634"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特困老年人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10</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集中供养</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对需要集中供养的特困老年人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由</w:t>
            </w:r>
            <w:r>
              <w:rPr>
                <w:rFonts w:hint="eastAsia" w:ascii="Times New Roman" w:hAnsi="Times New Roman" w:cs="Times New Roman" w:eastAsiaTheme="minorEastAsia"/>
                <w:spacing w:val="0"/>
                <w:w w:val="100"/>
                <w:position w:val="0"/>
                <w:sz w:val="21"/>
                <w:szCs w:val="21"/>
                <w:lang w:val="en-US" w:eastAsia="zh-CN"/>
              </w:rPr>
              <w:t>市</w:t>
            </w:r>
            <w:r>
              <w:rPr>
                <w:rFonts w:hint="default" w:ascii="Times New Roman" w:hAnsi="Times New Roman" w:cs="Times New Roman" w:eastAsiaTheme="minorEastAsia"/>
                <w:spacing w:val="0"/>
                <w:w w:val="100"/>
                <w:position w:val="0"/>
                <w:sz w:val="21"/>
                <w:szCs w:val="21"/>
              </w:rPr>
              <w:t>民政部门按照便于管理的原则</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就近安排到相应的供养服务机构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提供基本生活条件、疾病治疗、办理丧葬事宜等</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对生活不能自理的给予照料。</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基本生活标准为低保标准的1.5倍</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照料护理标准按照具有生活自理能力、部分和完全丧失自理能力三档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分别按当年本地最低工资标准的10%、25%和60%确定。</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napToGrid w:val="0"/>
                <w:color w:val="000000"/>
                <w:spacing w:val="0"/>
                <w:w w:val="100"/>
                <w:kern w:val="0"/>
                <w:position w:val="0"/>
                <w:sz w:val="21"/>
                <w:szCs w:val="21"/>
                <w:lang w:val="en-US" w:eastAsia="en-US" w:bidi="ar-SA"/>
              </w:rPr>
            </w:pPr>
            <w:r>
              <w:rPr>
                <w:rFonts w:hint="default" w:ascii="Times New Roman" w:hAnsi="Times New Roman" w:cs="Times New Roman" w:eastAsiaTheme="minorEastAsia"/>
                <w:spacing w:val="0"/>
                <w:w w:val="100"/>
                <w:position w:val="0"/>
                <w:sz w:val="21"/>
                <w:szCs w:val="21"/>
              </w:rPr>
              <w:t>所需资金按原渠道由困难群众救助补助资金支出。市政府负责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省级</w:t>
            </w:r>
            <w:r>
              <w:rPr>
                <w:rFonts w:hint="eastAsia" w:ascii="Times New Roman" w:hAnsi="Times New Roman" w:cs="Times New Roman" w:eastAsiaTheme="minorEastAsia"/>
                <w:spacing w:val="0"/>
                <w:w w:val="100"/>
                <w:position w:val="0"/>
                <w:sz w:val="21"/>
                <w:szCs w:val="21"/>
                <w:lang w:val="en-US" w:eastAsia="zh-CN"/>
              </w:rPr>
              <w:t>和郑州市</w:t>
            </w:r>
            <w:r>
              <w:rPr>
                <w:rFonts w:hint="default" w:ascii="Times New Roman" w:hAnsi="Times New Roman" w:cs="Times New Roman" w:eastAsiaTheme="minorEastAsia"/>
                <w:spacing w:val="0"/>
                <w:w w:val="100"/>
                <w:position w:val="0"/>
                <w:sz w:val="21"/>
                <w:szCs w:val="21"/>
              </w:rPr>
              <w:t>适当补助。</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7354"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低保对象中经民政部门认定生活不能自理的老年人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有条件的地方可扩大到低保边缘、支出型困难等经济困难家庭中的生活不能自理老年人。对既符合老年人护理补贴条件</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又符合重度残疾人护理补贴条件的残疾老年人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可择高申领其中一类护理补贴</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不重复享受。</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11</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护理补贴</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为认定为生活不能自理的经济困难老年人提供护理补贴</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原则上按照每人每月不低于60元的标准执行。</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837"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经认定生活不能自理的老年人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12</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家庭养老支持服务</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符合条件的失能老年人家庭成员参加照护知识和技能等相关职业技能培训的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按规定给予职业培训补贴。</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免费参加由街道和社区养老服务设施运营方组织的技能培训或者参加由人社部门组织的照护知识和技能等相关职业技能培训</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具体补贴标准按照省资金使用管理政策明确。</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所需资金按原渠道从当地就业补助资金、职业技能提升行动专项资金等中支出。</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napToGrid w:val="0"/>
                <w:color w:val="000000"/>
                <w:spacing w:val="0"/>
                <w:w w:val="100"/>
                <w:kern w:val="0"/>
                <w:position w:val="0"/>
                <w:sz w:val="21"/>
                <w:szCs w:val="21"/>
                <w:lang w:val="en-US" w:eastAsia="zh-CN" w:bidi="ar-SA"/>
              </w:rPr>
            </w:pPr>
            <w:r>
              <w:rPr>
                <w:rFonts w:hint="eastAsia" w:ascii="Times New Roman" w:hAnsi="Times New Roman" w:cs="Times New Roman" w:eastAsiaTheme="minorEastAsia"/>
                <w:spacing w:val="0"/>
                <w:w w:val="100"/>
                <w:position w:val="0"/>
                <w:sz w:val="21"/>
                <w:szCs w:val="21"/>
                <w:lang w:val="en-US" w:eastAsia="zh-CN"/>
              </w:rPr>
              <w:t>市人社局、市民政局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8212"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对国家和社会作出特殊贡献的老年人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13</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优抚供养</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老年烈士遗属、因公牺牲军人遗属、病故军人遗属和进入老年的残疾军人、复员军人、退伍军人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无法定赡养人、扶养人或法定赡养人、扶养人无赡养、扶养能力且享受国家定期抚恤补助待遇的老年人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提供集中供养、医疗等保障。</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公办养老机构</w:t>
            </w:r>
            <w:r>
              <w:rPr>
                <w:rFonts w:hint="default" w:ascii="Times New Roman" w:hAnsi="Times New Roman" w:cs="Times New Roman" w:eastAsiaTheme="minorEastAsia"/>
                <w:color w:val="auto"/>
                <w:spacing w:val="0"/>
                <w:w w:val="100"/>
                <w:position w:val="0"/>
                <w:sz w:val="21"/>
                <w:szCs w:val="21"/>
              </w:rPr>
              <w:t>在保障好集中供养对象的前提下</w:t>
            </w:r>
            <w:r>
              <w:rPr>
                <w:rFonts w:hint="default"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可利用空余床位为其他无法定赡养人、扶养人或者法定赡养人、扶养人无赡养、扶养能力的老年优待抚恤对象提供优惠服务。现役军人家属和烈士、因公牺牲军人、病故军人的遗属</w:t>
            </w:r>
            <w:r>
              <w:rPr>
                <w:rFonts w:hint="default"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符合规定条件申请入住公办养老机构的</w:t>
            </w:r>
            <w:r>
              <w:rPr>
                <w:rFonts w:hint="default"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同等条件下优先安排。</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省级</w:t>
            </w:r>
            <w:r>
              <w:rPr>
                <w:rFonts w:hint="eastAsia" w:ascii="Times New Roman" w:hAnsi="Times New Roman" w:cs="Times New Roman" w:eastAsiaTheme="minorEastAsia"/>
                <w:spacing w:val="0"/>
                <w:w w:val="100"/>
                <w:position w:val="0"/>
                <w:sz w:val="21"/>
                <w:szCs w:val="21"/>
                <w:lang w:val="en-US" w:eastAsia="zh-CN"/>
              </w:rPr>
              <w:t>和郑州市财政给予</w:t>
            </w:r>
            <w:r>
              <w:rPr>
                <w:rFonts w:hint="default" w:ascii="Times New Roman" w:hAnsi="Times New Roman" w:cs="Times New Roman" w:eastAsiaTheme="minorEastAsia"/>
                <w:spacing w:val="0"/>
                <w:w w:val="100"/>
                <w:position w:val="0"/>
                <w:sz w:val="21"/>
                <w:szCs w:val="21"/>
              </w:rPr>
              <w:t>补助。</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市退役军人局、市卫健委</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7827"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经认定符合条件的残疾老年人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14</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困难残疾人生活补贴和重度残疾人护</w:t>
            </w:r>
          </w:p>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理补贴</w:t>
            </w:r>
          </w:p>
        </w:tc>
        <w:tc>
          <w:tcPr>
            <w:tcW w:w="1306" w:type="dxa"/>
            <w:vAlign w:val="center"/>
          </w:tcPr>
          <w:p>
            <w:pPr>
              <w:pStyle w:val="7"/>
              <w:keepNext w:val="0"/>
              <w:keepLines w:val="0"/>
              <w:pageBreakBefore w:val="0"/>
              <w:widowControl w:val="0"/>
              <w:tabs>
                <w:tab w:val="left" w:pos="128"/>
              </w:tabs>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为最低生活保障家庭中的残疾老年人提供生活补贴</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有条件的区县〔市〕可将补贴对象扩大到低收入残疾老年人及其他困难残疾老年人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为残疾等级被评定为一级、二级且需要长期照护的重度残疾老年人提供护理补贴</w:t>
            </w:r>
            <w:r>
              <w:rPr>
                <w:rFonts w:hint="default" w:ascii="Times New Roman" w:hAnsi="Times New Roman" w:cs="Times New Roman" w:eastAsiaTheme="minorEastAsia"/>
                <w:spacing w:val="0"/>
                <w:w w:val="100"/>
                <w:position w:val="0"/>
                <w:sz w:val="21"/>
                <w:szCs w:val="21"/>
              </w:rPr>
              <w:tab/>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有条件的区县〔市〕可将补贴对象扩大到非重度智力、精神残疾老年人或其他残疾老年人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困难残疾老年人生活补贴按照每人每月120元发放</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重度残疾老年人护理补贴按照每人每月100元发放。</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省级</w:t>
            </w:r>
            <w:r>
              <w:rPr>
                <w:rFonts w:hint="eastAsia" w:ascii="Times New Roman" w:hAnsi="Times New Roman" w:cs="Times New Roman" w:eastAsiaTheme="minorEastAsia"/>
                <w:spacing w:val="0"/>
                <w:w w:val="100"/>
                <w:position w:val="0"/>
                <w:sz w:val="21"/>
                <w:szCs w:val="21"/>
                <w:lang w:val="en-US" w:eastAsia="zh-CN"/>
              </w:rPr>
              <w:t>和郑州市财政</w:t>
            </w:r>
            <w:r>
              <w:rPr>
                <w:rFonts w:hint="default" w:ascii="Times New Roman" w:hAnsi="Times New Roman" w:cs="Times New Roman" w:eastAsiaTheme="minorEastAsia"/>
                <w:spacing w:val="0"/>
                <w:w w:val="100"/>
                <w:position w:val="0"/>
                <w:sz w:val="21"/>
                <w:szCs w:val="21"/>
              </w:rPr>
              <w:t>按比例分担</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r>
              <w:rPr>
                <w:rFonts w:hint="default" w:ascii="Times New Roman" w:hAnsi="Times New Roman" w:cs="Times New Roman" w:eastAsiaTheme="minorEastAsia"/>
                <w:spacing w:val="0"/>
                <w:w w:val="100"/>
                <w:position w:val="0"/>
                <w:sz w:val="21"/>
                <w:szCs w:val="21"/>
              </w:rPr>
              <w:t>、市残联</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25"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持有《中华人民共和国残疾人证》的老年人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15</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康复辅具适配</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为符合条件的老年人适配基本型辅助器具提供补贴。可开展康复辅具社区租赁服务工作。</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按照省残联等5部门《关于印发&lt;河南省残疾人基本型辅助器具适配补贴实施办法</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试行</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&gt;的通知》</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豫残联〔2022〕61号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执行。</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所需资金按原渠道支出。</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市残联</w:t>
            </w:r>
            <w:r>
              <w:rPr>
                <w:rFonts w:hint="eastAsia"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690"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生活无着的流浪乞讨老年人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16</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社会救助</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06" w:lineRule="auto"/>
              <w:ind w:left="20" w:firstLine="0" w:firstLineChars="0"/>
              <w:jc w:val="center"/>
              <w:textAlignment w:val="auto"/>
              <w:outlineLvl w:val="9"/>
              <w:rPr>
                <w:rFonts w:hint="default" w:ascii="Times New Roman" w:hAnsi="Times New Roman" w:cs="Times New Roman" w:eastAsiaTheme="minorEastAsia"/>
                <w:spacing w:val="0"/>
                <w:w w:val="100"/>
                <w:position w:val="0"/>
                <w:lang w:val="en-US" w:eastAsia="zh-CN"/>
              </w:rPr>
            </w:pPr>
            <w:r>
              <w:rPr>
                <w:rFonts w:hint="eastAsia" w:ascii="Times New Roman" w:hAnsi="Times New Roman" w:cs="Times New Roman" w:eastAsiaTheme="minorEastAsia"/>
                <w:spacing w:val="0"/>
                <w:w w:val="100"/>
                <w:position w:val="0"/>
                <w:sz w:val="21"/>
                <w:szCs w:val="21"/>
                <w:lang w:val="en-US" w:eastAsia="zh-CN"/>
              </w:rPr>
              <w:t>对</w:t>
            </w:r>
            <w:r>
              <w:rPr>
                <w:rFonts w:hint="default" w:ascii="Times New Roman" w:hAnsi="Times New Roman" w:cs="Times New Roman" w:eastAsiaTheme="minorEastAsia"/>
                <w:spacing w:val="0"/>
                <w:w w:val="100"/>
                <w:position w:val="0"/>
                <w:sz w:val="21"/>
                <w:szCs w:val="21"/>
              </w:rPr>
              <w:t>生活无着的流浪乞讨老年人按</w:t>
            </w:r>
            <w:r>
              <w:rPr>
                <w:rFonts w:hint="eastAsia" w:ascii="Times New Roman" w:hAnsi="Times New Roman" w:cs="Times New Roman" w:eastAsiaTheme="minorEastAsia"/>
                <w:spacing w:val="0"/>
                <w:w w:val="100"/>
                <w:position w:val="0"/>
                <w:sz w:val="21"/>
                <w:szCs w:val="21"/>
                <w:lang w:val="en-US" w:eastAsia="zh-CN"/>
              </w:rPr>
              <w:t>规定给予救助。</w:t>
            </w:r>
          </w:p>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为符合条件的受助人员提供符合食品卫生要求的食物</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提供符合基本条件的住处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对站内突发疾病的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及时送医院救治</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帮助与其亲属或者所在单位联系</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对没有交通返回其住所地或者所在单位的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提供乘车凭证。</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所需资金从困难群众救助补助资金中支出。市政府负责</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省</w:t>
            </w:r>
            <w:r>
              <w:rPr>
                <w:rFonts w:hint="eastAsia" w:ascii="Times New Roman" w:hAnsi="Times New Roman" w:cs="Times New Roman" w:eastAsiaTheme="minorEastAsia"/>
                <w:spacing w:val="0"/>
                <w:w w:val="100"/>
                <w:position w:val="0"/>
                <w:sz w:val="21"/>
                <w:szCs w:val="21"/>
                <w:lang w:val="en-US" w:eastAsia="zh-CN"/>
              </w:rPr>
              <w:t>和郑州市</w:t>
            </w:r>
            <w:r>
              <w:rPr>
                <w:rFonts w:hint="default" w:ascii="Times New Roman" w:hAnsi="Times New Roman" w:cs="Times New Roman" w:eastAsiaTheme="minorEastAsia"/>
                <w:spacing w:val="0"/>
                <w:w w:val="100"/>
                <w:position w:val="0"/>
                <w:sz w:val="21"/>
                <w:szCs w:val="21"/>
              </w:rPr>
              <w:t>适当补助。</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eastAsia" w:ascii="Times New Roman" w:hAnsi="Times New Roman" w:cs="Times New Roman" w:eastAsiaTheme="minorEastAsia"/>
                <w:spacing w:val="0"/>
                <w:w w:val="100"/>
                <w:position w:val="0"/>
                <w:sz w:val="21"/>
                <w:szCs w:val="21"/>
                <w:lang w:eastAsia="zh-CN"/>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7131"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特困人员、低保对象、返贫致贫人口、农村易返贫致贫人口等群体中的老年人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17</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医疗救助</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对特困人员</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低保对象、返贫致贫人口、农村易返贫致贫人口等群体中的老年人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参加我市城乡居民基本医疗保险的个人缴费由其困难身份认定所在市财政全额或定额补贴</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并给予医疗救助。</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按照《郑州市人民政府办公厅关于健全重特大疾病医疗保险和救助制度的实施意见》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郑政办〔2022〕64号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等规定</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全额资助特困人员</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定额资助低保对象、返贫致贫人口群体中的老年人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定额资助标准分别为个人缴费金额的95%和70%。农村易返贫致贫人口资助标准</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按巩固拓展脱贫攻坚成果同乡村振兴有效衔接的政策规定执行。</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所需资金从城乡医疗救助基金支出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市以上政府建立城乡医疗救助基金</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通过一般公共财政预算和社会各界捐助等渠道筹集资金。财政合理安排资金对城乡医疗救助基金予以补助</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中央财政、省财政</w:t>
            </w:r>
            <w:r>
              <w:rPr>
                <w:rFonts w:hint="eastAsia"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郑州市和</w:t>
            </w:r>
            <w:r>
              <w:rPr>
                <w:rFonts w:hint="default" w:ascii="Times New Roman" w:hAnsi="Times New Roman" w:cs="Times New Roman" w:eastAsiaTheme="minorEastAsia"/>
                <w:spacing w:val="0"/>
                <w:w w:val="100"/>
                <w:position w:val="0"/>
                <w:sz w:val="21"/>
                <w:szCs w:val="21"/>
              </w:rPr>
              <w:t>市财政共同承担支出责任。</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市医保局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412"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独居、空巢、留守、失能、重残、计划生育特殊家庭等老年人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18</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探访关爱服务</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面向服务对象提供上门探访关爱服务。</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政府主导</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社会共同参与</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通过定期上门入户、电话视频、远程监测等方式</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面向特殊困难老年人提供探访关爱服务。每月至少探访一次</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开展生活照料、精神慰藉、安全防护、权益维护等服务</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及时防范和化解意外风险。建立探访关爱服务档案。</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关爱服务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r>
              <w:rPr>
                <w:rFonts w:hint="default" w:ascii="Times New Roman" w:hAnsi="Times New Roman" w:cs="Times New Roman" w:eastAsiaTheme="minorEastAsia"/>
                <w:spacing w:val="0"/>
                <w:w w:val="100"/>
                <w:position w:val="0"/>
                <w:sz w:val="21"/>
                <w:szCs w:val="21"/>
              </w:rPr>
              <w:t>、市卫健委、市残联</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635"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计划生育特殊家庭老年人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19</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优先享受机构养老服务</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同等条件下优先入住政府投资兴办的养老机构。</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建立公办养老机构入住管理制度</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明确老年人入住条件和排序规则</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坚持公办养老机构公益属性</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同等条件下优先接收计划生育特殊家庭老年人入住。</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市卫健委</w:t>
            </w:r>
            <w:r>
              <w:rPr>
                <w:rFonts w:hint="eastAsia" w:ascii="Times New Roman" w:hAnsi="Times New Roman" w:cs="Times New Roman" w:eastAsiaTheme="minorEastAsia"/>
                <w:spacing w:val="0"/>
                <w:w w:val="100"/>
                <w:position w:val="0"/>
                <w:sz w:val="21"/>
                <w:szCs w:val="21"/>
                <w:lang w:eastAsia="zh-CN"/>
              </w:rPr>
              <w:t>、</w:t>
            </w: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257" w:hRule="atLeast"/>
          <w:jc w:val="center"/>
        </w:trPr>
        <w:tc>
          <w:tcPr>
            <w:tcW w:w="1137" w:type="dxa"/>
            <w:tcBorders>
              <w:lef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特殊困难老年人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20</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为特殊困难老年人提供入住机构照料护理、居家生活照料等养老服务。</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依托政府兴办的街道和社区等养老服务场所提供</w:t>
            </w:r>
          </w:p>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服务</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收费标准体现公益性。</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照护服务</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664"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60周岁及以上老年人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21</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银发顾问</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服务</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为有需求的老年人提供养老政策咨询、资源链接、服务推介等顾问服务。</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主要开展养老服务资源介绍</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老年人福利政策指导、咨询建档与服务记录等基本服务和制定养老服务清单、家庭养老支持、巡回宣介等特色服务。</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eastAsia" w:ascii="Times New Roman" w:hAnsi="Times New Roman" w:cs="Times New Roman" w:eastAsiaTheme="minorEastAsia"/>
                <w:spacing w:val="0"/>
                <w:w w:val="100"/>
                <w:position w:val="0"/>
                <w:sz w:val="21"/>
                <w:szCs w:val="21"/>
                <w:lang w:val="en-US" w:eastAsia="zh-CN"/>
              </w:rPr>
              <w:t>市民政局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914" w:hRule="atLeast"/>
          <w:jc w:val="center"/>
        </w:trPr>
        <w:tc>
          <w:tcPr>
            <w:tcW w:w="1137" w:type="dxa"/>
            <w:vMerge w:val="restart"/>
            <w:tcBorders>
              <w:left w:val="single" w:color="231F20" w:sz="6" w:space="0"/>
              <w:bottom w:val="nil"/>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60周岁及以上老年人</w:t>
            </w: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22</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参观公园和公共文化设施</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持居民身份证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免费进入政府投资、建设和管理的旅游景点、公园等公共文化设施。</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60周岁及以上老年人持本人身份证件免费入园。</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市文化广电旅游局、市园林</w:t>
            </w:r>
            <w:r>
              <w:rPr>
                <w:rFonts w:hint="eastAsia" w:ascii="Times New Roman" w:hAnsi="Times New Roman" w:cs="Times New Roman" w:eastAsiaTheme="minorEastAsia"/>
                <w:spacing w:val="0"/>
                <w:w w:val="100"/>
                <w:position w:val="0"/>
                <w:sz w:val="21"/>
                <w:szCs w:val="21"/>
                <w:lang w:val="en-US" w:eastAsia="zh-CN"/>
              </w:rPr>
              <w:t>中心</w:t>
            </w:r>
            <w:r>
              <w:rPr>
                <w:rFonts w:hint="default" w:ascii="Times New Roman" w:hAnsi="Times New Roman" w:cs="Times New Roman" w:eastAsiaTheme="minorEastAsia"/>
                <w:spacing w:val="0"/>
                <w:w w:val="100"/>
                <w:position w:val="0"/>
                <w:sz w:val="21"/>
                <w:szCs w:val="21"/>
              </w:rPr>
              <w:t>、市市场监管局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660" w:hRule="atLeast"/>
          <w:jc w:val="center"/>
        </w:trPr>
        <w:tc>
          <w:tcPr>
            <w:tcW w:w="1137" w:type="dxa"/>
            <w:vMerge w:val="continue"/>
            <w:tcBorders>
              <w:top w:val="nil"/>
              <w:left w:val="single" w:color="231F20" w:sz="6" w:space="0"/>
              <w:bottom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451"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23</w:t>
            </w:r>
          </w:p>
        </w:tc>
        <w:tc>
          <w:tcPr>
            <w:tcW w:w="1133"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乘坐城市公共交通工具</w:t>
            </w:r>
          </w:p>
        </w:tc>
        <w:tc>
          <w:tcPr>
            <w:tcW w:w="1306"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乘坐城市公共交通工具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享受免费乘车服务</w:t>
            </w:r>
          </w:p>
        </w:tc>
        <w:tc>
          <w:tcPr>
            <w:tcW w:w="1697"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shd w:val="clear" w:color="auto" w:fill="auto"/>
              </w:rPr>
              <w:t>60周岁及以上老年人办理</w:t>
            </w:r>
            <w:r>
              <w:rPr>
                <w:rFonts w:hint="eastAsia" w:ascii="Times New Roman" w:hAnsi="Times New Roman" w:cs="Times New Roman" w:eastAsiaTheme="minorEastAsia"/>
                <w:color w:val="auto"/>
                <w:spacing w:val="0"/>
                <w:w w:val="100"/>
                <w:position w:val="0"/>
                <w:sz w:val="21"/>
                <w:szCs w:val="21"/>
                <w:shd w:val="clear" w:color="auto" w:fill="auto"/>
                <w:lang w:val="en-US" w:eastAsia="zh-CN"/>
              </w:rPr>
              <w:t>荥阳一卡通尊享卡，持卡可免费乘坐荥阳公交（包含市区公交和城乡公交）</w:t>
            </w:r>
            <w:r>
              <w:rPr>
                <w:rFonts w:hint="default" w:ascii="Times New Roman" w:hAnsi="Times New Roman" w:cs="Times New Roman" w:eastAsiaTheme="minorEastAsia"/>
                <w:color w:val="auto"/>
                <w:spacing w:val="0"/>
                <w:w w:val="100"/>
                <w:position w:val="0"/>
                <w:sz w:val="21"/>
                <w:szCs w:val="21"/>
                <w:shd w:val="clear" w:color="auto" w:fill="auto"/>
                <w:lang w:eastAsia="zh-CN"/>
              </w:rPr>
              <w:t>，</w:t>
            </w:r>
            <w:r>
              <w:rPr>
                <w:rFonts w:hint="eastAsia" w:ascii="Times New Roman" w:hAnsi="Times New Roman" w:cs="Times New Roman" w:eastAsiaTheme="minorEastAsia"/>
                <w:color w:val="auto"/>
                <w:spacing w:val="0"/>
                <w:w w:val="100"/>
                <w:position w:val="0"/>
                <w:sz w:val="21"/>
                <w:szCs w:val="21"/>
                <w:shd w:val="clear" w:color="auto" w:fill="auto"/>
                <w:lang w:val="en-US" w:eastAsia="zh-CN"/>
              </w:rPr>
              <w:t>每月可乘坐100次</w:t>
            </w:r>
            <w:r>
              <w:rPr>
                <w:rFonts w:hint="default" w:ascii="Times New Roman" w:hAnsi="Times New Roman" w:cs="Times New Roman" w:eastAsiaTheme="minorEastAsia"/>
                <w:color w:val="auto"/>
                <w:spacing w:val="0"/>
                <w:w w:val="100"/>
                <w:position w:val="0"/>
                <w:sz w:val="21"/>
                <w:szCs w:val="21"/>
                <w:shd w:val="clear" w:color="auto" w:fill="auto"/>
              </w:rPr>
              <w:t>。</w:t>
            </w:r>
          </w:p>
        </w:tc>
        <w:tc>
          <w:tcPr>
            <w:tcW w:w="1982"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市交通运输局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382" w:hRule="atLeast"/>
          <w:jc w:val="center"/>
        </w:trPr>
        <w:tc>
          <w:tcPr>
            <w:tcW w:w="1137" w:type="dxa"/>
            <w:vMerge w:val="continue"/>
            <w:tcBorders>
              <w:top w:val="nil"/>
              <w:left w:val="single" w:color="231F20" w:sz="6" w:space="0"/>
              <w:bottom w:val="single" w:color="231F20" w:sz="6"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24</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公证服务</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对经济困难且符合法律援助条件的老年人申办公证</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减免公证费。对于不符合法律援助条件</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但当事人确有困难的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公证机构应当酌情减收或者免收相关的公证服务费用。</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按照《中华人民共和国法律援助法》和《河南省发展和改革委员会河南省司法厅关于进一步完善我省公证服务价格管理的通知》</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豫发改收费〔2021〕1100号</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执行。</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市政府负责</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市司法局</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8322" w:hRule="atLeast"/>
          <w:jc w:val="center"/>
        </w:trPr>
        <w:tc>
          <w:tcPr>
            <w:tcW w:w="1137" w:type="dxa"/>
            <w:tcBorders>
              <w:left w:val="single" w:color="231F20" w:sz="6" w:space="0"/>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60周岁及以上老年人</w:t>
            </w:r>
          </w:p>
        </w:tc>
        <w:tc>
          <w:tcPr>
            <w:tcW w:w="451"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25</w:t>
            </w:r>
          </w:p>
        </w:tc>
        <w:tc>
          <w:tcPr>
            <w:tcW w:w="1133"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法律诉讼服务</w:t>
            </w:r>
          </w:p>
        </w:tc>
        <w:tc>
          <w:tcPr>
            <w:tcW w:w="1306"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为追索赡养费、抚恤金、养老金、最低生活保障金、医疗费等向人民法院起诉、交纳诉讼费用有困难的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按照国家规定免收、减收或者缓收诉讼费用</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并告知当事人可依法申请法律援助。</w:t>
            </w:r>
          </w:p>
        </w:tc>
        <w:tc>
          <w:tcPr>
            <w:tcW w:w="1697"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按照《诉讼费用交纳办法》第六章</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司法救助</w:t>
            </w:r>
            <w:r>
              <w:rPr>
                <w:rFonts w:hint="eastAsia"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确定属于免交、减交、缓交情况。最高人民法院《关于对经济确有困难的当事人提供司法救助的规定》第六条规定:人民法院决定对一方当事人司法救助</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对方当事人败诉的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诉讼费用由对方当事人交纳</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拒不交纳的强制执行。对方当事人胜诉的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可视申请司法救助当事人的经济状况决定其减交、免交诉讼费用。决定减交诉讼费用的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减交比例不得低于30%。符合本规定第三条第二项、第九项规定情形的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应免交诉讼费用。</w:t>
            </w:r>
          </w:p>
        </w:tc>
        <w:tc>
          <w:tcPr>
            <w:tcW w:w="1982"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办案部门受理司法救助申请并审批</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司法救助工作领导小组审核</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对批准发放的</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由财政部门将国家司法救助资金拨付办案机关</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办案机关通过国库集中支付发放至申请人</w:t>
            </w:r>
            <w:r>
              <w:rPr>
                <w:rFonts w:hint="default" w:ascii="Times New Roman" w:hAnsi="Times New Roman" w:cs="Times New Roman" w:eastAsiaTheme="minorEastAsia"/>
                <w:spacing w:val="0"/>
                <w:w w:val="100"/>
                <w:position w:val="0"/>
                <w:sz w:val="21"/>
                <w:szCs w:val="21"/>
                <w:lang w:eastAsia="zh-CN"/>
              </w:rPr>
              <w:t>，</w:t>
            </w:r>
            <w:r>
              <w:rPr>
                <w:rFonts w:hint="default" w:ascii="Times New Roman" w:hAnsi="Times New Roman" w:cs="Times New Roman" w:eastAsiaTheme="minorEastAsia"/>
                <w:spacing w:val="0"/>
                <w:w w:val="100"/>
                <w:position w:val="0"/>
                <w:sz w:val="21"/>
                <w:szCs w:val="21"/>
              </w:rPr>
              <w:t>申请人领取时应办理签收手续。</w:t>
            </w:r>
          </w:p>
        </w:tc>
        <w:tc>
          <w:tcPr>
            <w:tcW w:w="678" w:type="dxa"/>
            <w:tcBorders>
              <w:bottom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物质帮助</w:t>
            </w:r>
          </w:p>
        </w:tc>
        <w:tc>
          <w:tcPr>
            <w:tcW w:w="1151" w:type="dxa"/>
            <w:tcBorders>
              <w:bottom w:val="single" w:color="231F20" w:sz="6" w:space="0"/>
              <w:right w:val="single" w:color="231F20" w:sz="6" w:space="0"/>
            </w:tcBorders>
            <w:vAlign w:val="center"/>
          </w:tcPr>
          <w:p>
            <w:pPr>
              <w:pStyle w:val="7"/>
              <w:keepNext w:val="0"/>
              <w:keepLines w:val="0"/>
              <w:pageBreakBefore w:val="0"/>
              <w:widowControl w:val="0"/>
              <w:kinsoku/>
              <w:wordWrap/>
              <w:overflowPunct w:val="0"/>
              <w:topLinePunct w:val="0"/>
              <w:autoSpaceDE/>
              <w:autoSpaceDN/>
              <w:bidi w:val="0"/>
              <w:adjustRightInd w:val="0"/>
              <w:snapToGrid w:val="0"/>
              <w:spacing w:line="240" w:lineRule="exact"/>
              <w:ind w:left="42" w:leftChars="20" w:right="42" w:rightChars="2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市</w:t>
            </w:r>
            <w:r>
              <w:rPr>
                <w:rFonts w:hint="eastAsia" w:ascii="Times New Roman" w:hAnsi="Times New Roman" w:cs="Times New Roman" w:eastAsiaTheme="minorEastAsia"/>
                <w:spacing w:val="0"/>
                <w:w w:val="100"/>
                <w:position w:val="0"/>
                <w:sz w:val="21"/>
                <w:szCs w:val="21"/>
                <w:lang w:val="en-US" w:eastAsia="zh-CN"/>
              </w:rPr>
              <w:t>人民</w:t>
            </w:r>
            <w:r>
              <w:rPr>
                <w:rFonts w:hint="default" w:ascii="Times New Roman" w:hAnsi="Times New Roman" w:cs="Times New Roman" w:eastAsiaTheme="minorEastAsia"/>
                <w:spacing w:val="0"/>
                <w:w w:val="100"/>
                <w:position w:val="0"/>
                <w:sz w:val="21"/>
                <w:szCs w:val="21"/>
              </w:rPr>
              <w:t>法院</w:t>
            </w:r>
          </w:p>
        </w:tc>
      </w:tr>
    </w:tbl>
    <w:p>
      <w:pPr>
        <w:keepNext w:val="0"/>
        <w:keepLines w:val="0"/>
        <w:pageBreakBefore w:val="0"/>
        <w:widowControl/>
        <w:kinsoku w:val="0"/>
        <w:wordWrap/>
        <w:overflowPunct/>
        <w:topLinePunct w:val="0"/>
        <w:autoSpaceDE w:val="0"/>
        <w:autoSpaceDN w:val="0"/>
        <w:bidi w:val="0"/>
        <w:adjustRightInd w:val="0"/>
        <w:snapToGrid w:val="0"/>
        <w:spacing w:line="644" w:lineRule="exact"/>
        <w:ind w:left="0" w:leftChars="0" w:right="0" w:rightChars="0" w:firstLine="0" w:firstLineChars="0"/>
        <w:textAlignment w:val="baseline"/>
        <w:outlineLvl w:val="9"/>
        <w:rPr>
          <w:rFonts w:hint="default" w:ascii="Times New Roman" w:hAnsi="Times New Roman" w:cs="Times New Roman"/>
        </w:rPr>
      </w:pPr>
    </w:p>
    <w:sectPr>
      <w:headerReference r:id="rId5" w:type="default"/>
      <w:footerReference r:id="rId6" w:type="default"/>
      <w:pgSz w:w="11906" w:h="16838"/>
      <w:pgMar w:top="2268" w:right="1531" w:bottom="1814" w:left="1531" w:header="0" w:footer="1361"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1782" o:spid="_x0000_s4097" o:spt="136" type="#_x0000_t136" style="position:absolute;left:0pt;margin-left:147.85pt;margin-top:663.05pt;height:12.45pt;width:38.4pt;mso-position-horizontal-relative:page;mso-position-vertical-relative:page;rotation:22478848f;z-index:-251657216;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784" o:spid="_x0000_s4098" o:spt="136" type="#_x0000_t136" style="position:absolute;left:0pt;margin-left:144.05pt;margin-top:681.2pt;height:12.75pt;width:77.55pt;mso-position-horizontal-relative:page;mso-position-vertical-relative:page;rotation:22478848f;z-index:-251656192;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786" o:spid="_x0000_s4099" o:spt="136" type="#_x0000_t136" style="position:absolute;left:0pt;margin-left:160.9pt;margin-top:705.35pt;height:12.35pt;width:38.45pt;mso-position-horizontal-relative:page;mso-position-vertical-relative:page;rotation:22478848f;z-index:-251655168;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788" o:spid="_x0000_s4100" o:spt="136" type="#_x0000_t136" style="position:absolute;left:0pt;margin-left:297.85pt;margin-top:663.05pt;height:12.45pt;width:38.4pt;mso-position-horizontal-relative:page;mso-position-vertical-relative:page;rotation:22478848f;z-index:-251654144;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790" o:spid="_x0000_s4101" o:spt="136" type="#_x0000_t136" style="position:absolute;left:0pt;margin-left:294.05pt;margin-top:681.2pt;height:12.75pt;width:77.55pt;mso-position-horizontal-relative:page;mso-position-vertical-relative:page;rotation:22478848f;z-index:-251653120;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792" o:spid="_x0000_s4102" o:spt="136" type="#_x0000_t136" style="position:absolute;left:0pt;margin-left:447.85pt;margin-top:663.05pt;height:12.45pt;width:38.4pt;mso-position-horizontal-relative:page;mso-position-vertical-relative:page;rotation:22478848f;z-index:-251652096;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794" o:spid="_x0000_s4103" o:spt="136" type="#_x0000_t136" style="position:absolute;left:0pt;margin-left:444.05pt;margin-top:681.2pt;height:12.75pt;width:77.55pt;mso-position-horizontal-relative:page;mso-position-vertical-relative:page;rotation:22478848f;z-index:-251651072;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796" o:spid="_x0000_s4104" o:spt="136" type="#_x0000_t136" style="position:absolute;left:0pt;margin-left:460.9pt;margin-top:705.35pt;height:12.35pt;width:38.45pt;mso-position-horizontal-relative:page;mso-position-vertical-relative:page;rotation:22478848f;z-index:-251650048;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798" o:spid="_x0000_s4105" o:spt="136" type="#_x0000_t136" style="position:absolute;left:0pt;margin-left:310.9pt;margin-top:705.35pt;height:12.35pt;width:38.45pt;mso-position-horizontal-relative:page;mso-position-vertical-relative:page;rotation:22478848f;z-index:-251649024;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00" o:spid="_x0000_s4106" o:spt="136" type="#_x0000_t136" style="position:absolute;left:0pt;margin-left:-2.1pt;margin-top:663.05pt;height:12.45pt;width:38.4pt;mso-position-horizontal-relative:page;mso-position-vertical-relative:page;rotation:22478848f;z-index:-251648000;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02" o:spid="_x0000_s4107" o:spt="136" type="#_x0000_t136" style="position:absolute;left:0pt;margin-left:-5.9pt;margin-top:681.2pt;height:12.75pt;width:77.55pt;mso-position-horizontal-relative:page;mso-position-vertical-relative:page;rotation:22478848f;z-index:-251646976;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04" o:spid="_x0000_s4108" o:spt="136" type="#_x0000_t136" style="position:absolute;left:0pt;margin-left:147.85pt;margin-top:813.05pt;height:12.45pt;width:38.4pt;mso-position-horizontal-relative:page;mso-position-vertical-relative:page;rotation:22478848f;z-index:-251645952;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06" o:spid="_x0000_s4109" o:spt="136" type="#_x0000_t136" style="position:absolute;left:0pt;margin-left:144.05pt;margin-top:831.2pt;height:12.75pt;width:77.55pt;mso-position-horizontal-relative:page;mso-position-vertical-relative:page;rotation:22478848f;z-index:-251644928;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08" o:spid="_x0000_s4110" o:spt="136" type="#_x0000_t136" style="position:absolute;left:0pt;margin-left:-2.1pt;margin-top:813.05pt;height:12.45pt;width:38.4pt;mso-position-horizontal-relative:page;mso-position-vertical-relative:page;rotation:22478848f;z-index:-251643904;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10" o:spid="_x0000_s4111" o:spt="136" type="#_x0000_t136" style="position:absolute;left:0pt;margin-left:-5.9pt;margin-top:831.2pt;height:12.75pt;width:77.55pt;mso-position-horizontal-relative:page;mso-position-vertical-relative:page;rotation:22478848f;z-index:-251642880;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12" o:spid="_x0000_s4112" o:spt="136" type="#_x0000_t136" style="position:absolute;left:0pt;margin-left:297.85pt;margin-top:813.05pt;height:12.45pt;width:38.4pt;mso-position-horizontal-relative:page;mso-position-vertical-relative:page;rotation:22478848f;z-index:-251641856;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14" o:spid="_x0000_s4113" o:spt="136" type="#_x0000_t136" style="position:absolute;left:0pt;margin-left:294.05pt;margin-top:831.2pt;height:12.75pt;width:77.55pt;mso-position-horizontal-relative:page;mso-position-vertical-relative:page;rotation:22478848f;z-index:-251640832;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16" o:spid="_x0000_s4114" o:spt="136" type="#_x0000_t136" style="position:absolute;left:0pt;margin-left:447.85pt;margin-top:813.05pt;height:12.45pt;width:38.4pt;mso-position-horizontal-relative:page;mso-position-vertical-relative:page;rotation:22478848f;z-index:-251639808;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18" o:spid="_x0000_s4115" o:spt="136" type="#_x0000_t136" style="position:absolute;left:0pt;margin-left:444.05pt;margin-top:831.2pt;height:12.75pt;width:77.55pt;mso-position-horizontal-relative:page;mso-position-vertical-relative:page;rotation:22478848f;z-index:-251638784;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20" o:spid="_x0000_s4116" o:spt="136" type="#_x0000_t136" style="position:absolute;left:0pt;margin-left:147.85pt;margin-top:363.05pt;height:12.45pt;width:38.4pt;mso-position-horizontal-relative:page;mso-position-vertical-relative:page;rotation:22478848f;z-index:-251637760;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22" o:spid="_x0000_s4117" o:spt="136" type="#_x0000_t136" style="position:absolute;left:0pt;margin-left:144.05pt;margin-top:381.2pt;height:12.75pt;width:77.55pt;mso-position-horizontal-relative:page;mso-position-vertical-relative:page;rotation:22478848f;z-index:-251636736;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24" o:spid="_x0000_s4118" o:spt="136" type="#_x0000_t136" style="position:absolute;left:0pt;margin-left:147.85pt;margin-top:213.05pt;height:12.45pt;width:38.4pt;mso-position-horizontal-relative:page;mso-position-vertical-relative:page;rotation:22478848f;z-index:-251635712;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26" o:spid="_x0000_s4119" o:spt="136" type="#_x0000_t136" style="position:absolute;left:0pt;margin-left:144.05pt;margin-top:231.2pt;height:12.75pt;width:77.55pt;mso-position-horizontal-relative:page;mso-position-vertical-relative:page;rotation:22478848f;z-index:-251634688;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28" o:spid="_x0000_s4120" o:spt="136" type="#_x0000_t136" style="position:absolute;left:0pt;margin-left:147.85pt;margin-top:63.05pt;height:12.45pt;width:38.4pt;mso-position-horizontal-relative:page;mso-position-vertical-relative:page;rotation:22478848f;z-index:-251633664;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30" o:spid="_x0000_s4121" o:spt="136" type="#_x0000_t136" style="position:absolute;left:0pt;margin-left:144.05pt;margin-top:81.2pt;height:12.75pt;width:77.55pt;mso-position-horizontal-relative:page;mso-position-vertical-relative:page;rotation:22478848f;z-index:-251632640;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32" o:spid="_x0000_s4122" o:spt="136" type="#_x0000_t136" style="position:absolute;left:0pt;margin-left:147.85pt;margin-top:513.05pt;height:12.45pt;width:38.4pt;mso-position-horizontal-relative:page;mso-position-vertical-relative:page;rotation:22478848f;z-index:-251631616;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34" o:spid="_x0000_s4123" o:spt="136" type="#_x0000_t136" style="position:absolute;left:0pt;margin-left:144.05pt;margin-top:531.2pt;height:12.75pt;width:77.55pt;mso-position-horizontal-relative:page;mso-position-vertical-relative:page;rotation:22478848f;z-index:-251630592;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36" o:spid="_x0000_s4124" o:spt="136" type="#_x0000_t136" style="position:absolute;left:0pt;margin-left:-2.1pt;margin-top:513.05pt;height:12.45pt;width:38.4pt;mso-position-horizontal-relative:page;mso-position-vertical-relative:page;rotation:22478848f;z-index:-251629568;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38" o:spid="_x0000_s4125" o:spt="136" type="#_x0000_t136" style="position:absolute;left:0pt;margin-left:-5.9pt;margin-top:531.2pt;height:12.75pt;width:77.55pt;mso-position-horizontal-relative:page;mso-position-vertical-relative:page;rotation:22478848f;z-index:-251628544;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40" o:spid="_x0000_s4126" o:spt="136" type="#_x0000_t136" style="position:absolute;left:0pt;margin-left:-2.1pt;margin-top:213.05pt;height:12.45pt;width:38.4pt;mso-position-horizontal-relative:page;mso-position-vertical-relative:page;rotation:22478848f;z-index:-251627520;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42" o:spid="_x0000_s4127" o:spt="136" type="#_x0000_t136" style="position:absolute;left:0pt;margin-left:-5.9pt;margin-top:231.2pt;height:12.75pt;width:77.55pt;mso-position-horizontal-relative:page;mso-position-vertical-relative:page;rotation:22478848f;z-index:-251626496;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44" o:spid="_x0000_s4128" o:spt="136" type="#_x0000_t136" style="position:absolute;left:0pt;margin-left:-2.1pt;margin-top:63.05pt;height:12.45pt;width:38.4pt;mso-position-horizontal-relative:page;mso-position-vertical-relative:page;rotation:22478848f;z-index:-251625472;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46" o:spid="_x0000_s4129" o:spt="136" type="#_x0000_t136" style="position:absolute;left:0pt;margin-left:-5.9pt;margin-top:81.2pt;height:12.75pt;width:77.55pt;mso-position-horizontal-relative:page;mso-position-vertical-relative:page;rotation:22478848f;z-index:-251624448;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48" o:spid="_x0000_s4130" o:spt="136" type="#_x0000_t136" style="position:absolute;left:0pt;margin-left:-2.1pt;margin-top:363.05pt;height:12.45pt;width:38.4pt;mso-position-horizontal-relative:page;mso-position-vertical-relative:page;rotation:22478848f;z-index:-251623424;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50" o:spid="_x0000_s4131" o:spt="136" type="#_x0000_t136" style="position:absolute;left:0pt;margin-left:-5.9pt;margin-top:381.2pt;height:12.75pt;width:77.55pt;mso-position-horizontal-relative:page;mso-position-vertical-relative:page;rotation:22478848f;z-index:-251622400;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52" o:spid="_x0000_s4132" o:spt="136" type="#_x0000_t136" style="position:absolute;left:0pt;margin-left:297.85pt;margin-top:63.05pt;height:12.45pt;width:38.4pt;mso-position-horizontal-relative:page;mso-position-vertical-relative:page;rotation:22478848f;z-index:-251621376;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54" o:spid="_x0000_s4133" o:spt="136" type="#_x0000_t136" style="position:absolute;left:0pt;margin-left:294.05pt;margin-top:81.2pt;height:12.75pt;width:77.55pt;mso-position-horizontal-relative:page;mso-position-vertical-relative:page;rotation:22478848f;z-index:-251620352;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56" o:spid="_x0000_s4134" o:spt="136" type="#_x0000_t136" style="position:absolute;left:0pt;margin-left:447.85pt;margin-top:63.05pt;height:12.45pt;width:38.4pt;mso-position-horizontal-relative:page;mso-position-vertical-relative:page;rotation:22478848f;z-index:-251619328;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58" o:spid="_x0000_s4135" o:spt="136" type="#_x0000_t136" style="position:absolute;left:0pt;margin-left:444.05pt;margin-top:81.2pt;height:12.75pt;width:77.55pt;mso-position-horizontal-relative:page;mso-position-vertical-relative:page;rotation:22478848f;z-index:-251618304;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60" o:spid="_x0000_s4136" o:spt="136" type="#_x0000_t136" style="position:absolute;left:0pt;margin-left:447.85pt;margin-top:363.05pt;height:12.45pt;width:38.4pt;mso-position-horizontal-relative:page;mso-position-vertical-relative:page;rotation:22478848f;z-index:-251617280;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62" o:spid="_x0000_s4137" o:spt="136" type="#_x0000_t136" style="position:absolute;left:0pt;margin-left:444.05pt;margin-top:381.2pt;height:12.75pt;width:77.55pt;mso-position-horizontal-relative:page;mso-position-vertical-relative:page;rotation:22478848f;z-index:-251616256;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64" o:spid="_x0000_s4138" o:spt="136" type="#_x0000_t136" style="position:absolute;left:0pt;margin-left:297.85pt;margin-top:363.05pt;height:12.45pt;width:38.4pt;mso-position-horizontal-relative:page;mso-position-vertical-relative:page;rotation:22478848f;z-index:-251615232;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66" o:spid="_x0000_s4139" o:spt="136" type="#_x0000_t136" style="position:absolute;left:0pt;margin-left:294.05pt;margin-top:381.2pt;height:12.75pt;width:77.55pt;mso-position-horizontal-relative:page;mso-position-vertical-relative:page;rotation:22478848f;z-index:-251614208;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68" o:spid="_x0000_s4140" o:spt="136" type="#_x0000_t136" style="position:absolute;left:0pt;margin-left:447.85pt;margin-top:213.05pt;height:12.45pt;width:38.4pt;mso-position-horizontal-relative:page;mso-position-vertical-relative:page;rotation:22478848f;z-index:-251613184;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70" o:spid="_x0000_s4141" o:spt="136" type="#_x0000_t136" style="position:absolute;left:0pt;margin-left:444.05pt;margin-top:231.2pt;height:12.75pt;width:77.55pt;mso-position-horizontal-relative:page;mso-position-vertical-relative:page;rotation:22478848f;z-index:-251612160;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72" o:spid="_x0000_s4142" o:spt="136" type="#_x0000_t136" style="position:absolute;left:0pt;margin-left:297.85pt;margin-top:513.05pt;height:12.45pt;width:38.4pt;mso-position-horizontal-relative:page;mso-position-vertical-relative:page;rotation:22478848f;z-index:-251611136;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74" o:spid="_x0000_s4143" o:spt="136" type="#_x0000_t136" style="position:absolute;left:0pt;margin-left:294.05pt;margin-top:531.2pt;height:12.75pt;width:77.55pt;mso-position-horizontal-relative:page;mso-position-vertical-relative:page;rotation:22478848f;z-index:-251610112;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76" o:spid="_x0000_s4144" o:spt="136" type="#_x0000_t136" style="position:absolute;left:0pt;margin-left:447.85pt;margin-top:513.05pt;height:12.45pt;width:38.4pt;mso-position-horizontal-relative:page;mso-position-vertical-relative:page;rotation:22478848f;z-index:-251609088;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78" o:spid="_x0000_s4145" o:spt="136" type="#_x0000_t136" style="position:absolute;left:0pt;margin-left:444.05pt;margin-top:531.2pt;height:12.75pt;width:77.55pt;mso-position-horizontal-relative:page;mso-position-vertical-relative:page;rotation:22478848f;z-index:-251608064;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80" o:spid="_x0000_s4146" o:spt="136" type="#_x0000_t136" style="position:absolute;left:0pt;margin-left:297.85pt;margin-top:213.05pt;height:12.45pt;width:38.4pt;mso-position-horizontal-relative:page;mso-position-vertical-relative:page;rotation:22478848f;z-index:-251607040;mso-width-relative:page;mso-height-relative:page;" fillcolor="#C0C0C0" filled="t" stroked="f" coordsize="21600,21600" o:allowincell="f">
          <v:path/>
          <v:fill on="t" opacity="6682f" focussize="0,0"/>
          <v:stroke on="f"/>
          <v:imagedata o:title=""/>
          <o:lock v:ext="edit"/>
          <v:textpath on="t" fitshape="t" fitpath="t" trim="t" xscale="f" string="张亚超" style="font-family:SimSun;font-size:8pt;v-text-align:center;"/>
        </v:shape>
      </w:pict>
    </w:r>
    <w:r>
      <w:pict>
        <v:shape id="PowerPlusWaterMarkObject1882" o:spid="_x0000_s4147" o:spt="136" type="#_x0000_t136" style="position:absolute;left:0pt;margin-left:294.05pt;margin-top:231.2pt;height:12.75pt;width:77.55pt;mso-position-horizontal-relative:page;mso-position-vertical-relative:page;rotation:22478848f;z-index:-251606016;mso-width-relative:page;mso-height-relative:page;" fillcolor="#C0C0C0" filled="t" stroked="f" coordsize="21600,21600" o:allowincell="f">
          <v:path/>
          <v:fill on="t" opacity="6682f" focussize="0,0"/>
          <v:stroke on="f"/>
          <v:imagedata o:title=""/>
          <o:lock v:ext="edit"/>
          <v:textpath on="t" fitshape="t" fitpath="t" trim="t" xscale="f" string="郑州市民政局" style="font-family:SimSun;font-size:8pt;v-text-align:center;"/>
        </v:shape>
      </w:pict>
    </w:r>
    <w:r>
      <w:pict>
        <v:shape id="PowerPlusWaterMarkObject1884" o:spid="_x0000_s4148" o:spt="136" type="#_x0000_t136" style="position:absolute;left:0pt;margin-left:160.9pt;margin-top:105.35pt;height:12.35pt;width:38.45pt;mso-position-horizontal-relative:page;mso-position-vertical-relative:page;rotation:22478848f;z-index:-251604992;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86" o:spid="_x0000_s4149" o:spt="136" type="#_x0000_t136" style="position:absolute;left:0pt;margin-left:10.9pt;margin-top:405.35pt;height:12.35pt;width:38.45pt;mso-position-horizontal-relative:page;mso-position-vertical-relative:page;rotation:22478848f;z-index:-251603968;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88" o:spid="_x0000_s4150" o:spt="136" type="#_x0000_t136" style="position:absolute;left:0pt;margin-left:10.9pt;margin-top:555.35pt;height:12.35pt;width:38.45pt;mso-position-horizontal-relative:page;mso-position-vertical-relative:page;rotation:22478848f;z-index:-251602944;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90" o:spid="_x0000_s4151" o:spt="136" type="#_x0000_t136" style="position:absolute;left:0pt;margin-left:10.9pt;margin-top:255.35pt;height:12.35pt;width:38.45pt;mso-position-horizontal-relative:page;mso-position-vertical-relative:page;rotation:22478848f;z-index:-251601920;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92" o:spid="_x0000_s4152" o:spt="136" type="#_x0000_t136" style="position:absolute;left:0pt;margin-left:160.9pt;margin-top:555.35pt;height:12.35pt;width:38.45pt;mso-position-horizontal-relative:page;mso-position-vertical-relative:page;rotation:22478848f;z-index:-251600896;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94" o:spid="_x0000_s4153" o:spt="136" type="#_x0000_t136" style="position:absolute;left:0pt;margin-left:160.9pt;margin-top:255.35pt;height:12.35pt;width:38.45pt;mso-position-horizontal-relative:page;mso-position-vertical-relative:page;rotation:22478848f;z-index:-251599872;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96" o:spid="_x0000_s4154" o:spt="136" type="#_x0000_t136" style="position:absolute;left:0pt;margin-left:160.9pt;margin-top:405.35pt;height:12.35pt;width:38.45pt;mso-position-horizontal-relative:page;mso-position-vertical-relative:page;rotation:22478848f;z-index:-251598848;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898" o:spid="_x0000_s4155" o:spt="136" type="#_x0000_t136" style="position:absolute;left:0pt;margin-left:10.9pt;margin-top:105.35pt;height:12.35pt;width:38.45pt;mso-position-horizontal-relative:page;mso-position-vertical-relative:page;rotation:22478848f;z-index:-251597824;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00" o:spid="_x0000_s4156" o:spt="136" type="#_x0000_t136" style="position:absolute;left:0pt;margin-left:10.9pt;margin-top:705.35pt;height:12.35pt;width:38.45pt;mso-position-horizontal-relative:page;mso-position-vertical-relative:page;rotation:22478848f;z-index:-251596800;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02" o:spid="_x0000_s4157" o:spt="136" type="#_x0000_t136" style="position:absolute;left:0pt;margin-left:460.9pt;margin-top:555.35pt;height:12.35pt;width:38.45pt;mso-position-horizontal-relative:page;mso-position-vertical-relative:page;rotation:22478848f;z-index:-251595776;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04" o:spid="_x0000_s4158" o:spt="136" type="#_x0000_t136" style="position:absolute;left:0pt;margin-left:310.9pt;margin-top:555.35pt;height:12.35pt;width:38.45pt;mso-position-horizontal-relative:page;mso-position-vertical-relative:page;rotation:22478848f;z-index:-251594752;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06" o:spid="_x0000_s4159" o:spt="136" type="#_x0000_t136" style="position:absolute;left:0pt;margin-left:460.9pt;margin-top:255.35pt;height:12.35pt;width:38.45pt;mso-position-horizontal-relative:page;mso-position-vertical-relative:page;rotation:22478848f;z-index:-251593728;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08" o:spid="_x0000_s4160" o:spt="136" type="#_x0000_t136" style="position:absolute;left:0pt;margin-left:460.9pt;margin-top:405.35pt;height:12.35pt;width:38.45pt;mso-position-horizontal-relative:page;mso-position-vertical-relative:page;rotation:22478848f;z-index:-251592704;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10" o:spid="_x0000_s4161" o:spt="136" type="#_x0000_t136" style="position:absolute;left:0pt;margin-left:310.9pt;margin-top:255.35pt;height:12.35pt;width:38.45pt;mso-position-horizontal-relative:page;mso-position-vertical-relative:page;rotation:22478848f;z-index:-251591680;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12" o:spid="_x0000_s4162" o:spt="136" type="#_x0000_t136" style="position:absolute;left:0pt;margin-left:310.9pt;margin-top:405.35pt;height:12.35pt;width:38.45pt;mso-position-horizontal-relative:page;mso-position-vertical-relative:page;rotation:22478848f;z-index:-251590656;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14" o:spid="_x0000_s4163" o:spt="136" type="#_x0000_t136" style="position:absolute;left:0pt;margin-left:310.9pt;margin-top:105.35pt;height:12.35pt;width:38.45pt;mso-position-horizontal-relative:page;mso-position-vertical-relative:page;rotation:22478848f;z-index:-251589632;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r>
      <w:pict>
        <v:shape id="PowerPlusWaterMarkObject1916" o:spid="_x0000_s4164" o:spt="136" type="#_x0000_t136" style="position:absolute;left:0pt;margin-left:460.9pt;margin-top:105.35pt;height:12.35pt;width:38.45pt;mso-position-horizontal-relative:page;mso-position-vertical-relative:page;rotation:22478848f;z-index:-251588608;mso-width-relative:page;mso-height-relative:page;" fillcolor="#C0C0C0" filled="t" stroked="f" coordsize="21600,21600" o:allowincell="f">
          <v:path/>
          <v:fill on="t" opacity="6682f" focussize="0,0"/>
          <v:stroke on="f"/>
          <v:imagedata o:title=""/>
          <o:lock v:ext="edit"/>
          <v:textpath on="t" fitshape="t" fitpath="t" trim="t" xscale="f" string="办公室" style="font-family:SimSun;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U0ZTJlY2NkMmIzM2IxYTg4ZDkzZDA3ZDU0NTI0MTUifQ=="/>
  </w:docVars>
  <w:rsids>
    <w:rsidRoot w:val="00000000"/>
    <w:rsid w:val="018629C3"/>
    <w:rsid w:val="066E7569"/>
    <w:rsid w:val="0BF64289"/>
    <w:rsid w:val="0D0F298E"/>
    <w:rsid w:val="0D715599"/>
    <w:rsid w:val="0EB36461"/>
    <w:rsid w:val="0EBD41C3"/>
    <w:rsid w:val="14BE16BC"/>
    <w:rsid w:val="180504CD"/>
    <w:rsid w:val="19D21BC4"/>
    <w:rsid w:val="1BEE6D2B"/>
    <w:rsid w:val="20B32026"/>
    <w:rsid w:val="20FD17BE"/>
    <w:rsid w:val="24E20663"/>
    <w:rsid w:val="288A7F6E"/>
    <w:rsid w:val="2AA001F4"/>
    <w:rsid w:val="330752C3"/>
    <w:rsid w:val="33550FE6"/>
    <w:rsid w:val="36B376EA"/>
    <w:rsid w:val="37023232"/>
    <w:rsid w:val="3A610B6E"/>
    <w:rsid w:val="3D5B369C"/>
    <w:rsid w:val="413D1A37"/>
    <w:rsid w:val="426B366F"/>
    <w:rsid w:val="42E83C24"/>
    <w:rsid w:val="45441620"/>
    <w:rsid w:val="45CE55A8"/>
    <w:rsid w:val="5322283B"/>
    <w:rsid w:val="655C6080"/>
    <w:rsid w:val="66A7157D"/>
    <w:rsid w:val="6D282CEC"/>
    <w:rsid w:val="76E00193"/>
    <w:rsid w:val="7BBB4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29"/>
      <w:szCs w:val="29"/>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table" w:customStyle="1" w:styleId="6">
    <w:name w:val="Table Normal"/>
    <w:autoRedefine/>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微软雅黑" w:hAnsi="微软雅黑" w:eastAsia="微软雅黑" w:cs="微软雅黑"/>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7"/>
    <customShpInfo spid="_x0000_s4138"/>
    <customShpInfo spid="_x0000_s4139"/>
    <customShpInfo spid="_x0000_s4140"/>
    <customShpInfo spid="_x0000_s4141"/>
    <customShpInfo spid="_x0000_s4142"/>
    <customShpInfo spid="_x0000_s4143"/>
    <customShpInfo spid="_x0000_s4144"/>
    <customShpInfo spid="_x0000_s4145"/>
    <customShpInfo spid="_x0000_s4146"/>
    <customShpInfo spid="_x0000_s4147"/>
    <customShpInfo spid="_x0000_s4148"/>
    <customShpInfo spid="_x0000_s4149"/>
    <customShpInfo spid="_x0000_s4150"/>
    <customShpInfo spid="_x0000_s4151"/>
    <customShpInfo spid="_x0000_s4152"/>
    <customShpInfo spid="_x0000_s4153"/>
    <customShpInfo spid="_x0000_s4154"/>
    <customShpInfo spid="_x0000_s4155"/>
    <customShpInfo spid="_x0000_s4156"/>
    <customShpInfo spid="_x0000_s4157"/>
    <customShpInfo spid="_x0000_s4158"/>
    <customShpInfo spid="_x0000_s4159"/>
    <customShpInfo spid="_x0000_s4160"/>
    <customShpInfo spid="_x0000_s4161"/>
    <customShpInfo spid="_x0000_s4162"/>
    <customShpInfo spid="_x0000_s4163"/>
    <customShpInfo spid="_x0000_s41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53</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2024-01-02T14:32:00Z</dcterms:created>
  <dc:creator>作者</dc:creator>
  <cp:keywords>关键字</cp:keywords>
  <cp:lastModifiedBy>下一个路口</cp:lastModifiedBy>
  <dcterms:modified xsi:type="dcterms:W3CDTF">2024-04-22T01:22:58Z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2024-01-10T11:56:35Z</vt:filetime>
  </property>
  <property fmtid="{D5CDD505-2E9C-101B-9397-08002B2CF9AE}" pid="4" name="KSOProductBuildVer">
    <vt:lpwstr>2052-12.1.0.16417</vt:lpwstr>
  </property>
  <property fmtid="{D5CDD505-2E9C-101B-9397-08002B2CF9AE}" pid="5" name="ICV">
    <vt:lpwstr>C81EEDE2032A4E00BA28890E5FC3F9CB_12</vt:lpwstr>
  </property>
</Properties>
</file>