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tbl>
      <w:tblPr>
        <w:tblStyle w:val="4"/>
        <w:tblW w:w="12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13"/>
        <w:gridCol w:w="954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河南省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荥阳市2021年引进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eastAsia="zh-CN" w:bidi="ar"/>
              </w:rPr>
              <w:t>高层次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人才专业需求岗位分类及招聘人数一览表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计划引进人数（名）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哲学类（中国哲学、马克思主义哲学）、社会政治类、语言文学类、教育学类、历史学类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法学类（知识产权、法学与行政法学）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新闻传播类、艺术类（广播电视编导、数字媒体艺术）、旅游管理类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城建规划岗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建筑类、测绘类、交通运输类、土木类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工业信息岗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理学类（信息与计算科学、数据计算及应用、人文地理与城乡规划、统计学、应用统计学）、工学类、材料类、电子信息类、机械类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计算机类（数据科学与大数据技术、计算机科学与技术、网络空间安全、网络工程、空间信息与数字技术）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社会治理岗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环境工程类、工商管理类（工商管理、会计学、审计学、电子商务、电子商务及法律）、公共管理类（土地资源管理、城市管理、农林经济管理、农村区域发展）、管理工程类、食品工程类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金融经济岗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财政金融类（财政学、税收学、会计学、财务管理、金融学、投资学、经济与金融）、经济学类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农林水利岗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植物生产类、农林工程类、林业生态类（林学、园林、森林保护、经济林、农业资源与环境）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水利类（水文与水资源工程、水务工程、水利科学与工程）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公共卫生岗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公共卫生类、医学类、药学类（药学、临床药学、药品分析）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80人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D139C"/>
    <w:rsid w:val="037D139C"/>
    <w:rsid w:val="306E4D48"/>
    <w:rsid w:val="6C30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2021-03-16T03:20:00Z</dcterms:created>
  <dc:creator>松梅</dc:creator>
  <cp:lastModifiedBy>松梅</cp:lastModifiedBy>
  <dcterms:modified xsi:type="dcterms:W3CDTF">2021-03-16T08:16:37Z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